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2C1" w14:textId="6507238A" w:rsidR="00837F2A" w:rsidRPr="00981F75" w:rsidRDefault="00837F2A" w:rsidP="00A35F21">
      <w:pPr>
        <w:spacing w:after="120" w:line="264" w:lineRule="auto"/>
        <w:jc w:val="both"/>
        <w:rPr>
          <w:rFonts w:asciiTheme="minorBidi" w:hAnsiTheme="minorBidi"/>
          <w:b/>
          <w:bCs/>
          <w:color w:val="222222"/>
          <w:sz w:val="20"/>
          <w:szCs w:val="20"/>
          <w:highlight w:val="yellow"/>
          <w:shd w:val="clear" w:color="auto" w:fill="FFFFFF"/>
        </w:rPr>
      </w:pPr>
      <w:bookmarkStart w:id="0" w:name="_Hlk126056147"/>
      <w:bookmarkStart w:id="1" w:name="_Hlk157586730"/>
      <w:r w:rsidRPr="00981F75">
        <w:rPr>
          <w:rFonts w:asciiTheme="minorBidi" w:hAnsiTheme="minorBidi"/>
          <w:b/>
          <w:bCs/>
          <w:color w:val="222222"/>
          <w:sz w:val="20"/>
          <w:szCs w:val="20"/>
          <w:shd w:val="clear" w:color="auto" w:fill="FFFFFF"/>
        </w:rPr>
        <w:t>INFORMACIJE SADRŽANE OVDJE NISU NAMIJENJENE ZA ŠIRENJE, OBJAVLJIVANJE ILI DISTRIBUCIJU, U CIJELOSTI ILI DJELOMIČNO, IZRAVNO ILI NEIZRAVNO, U ILI PREMA ILI IZ SJEDINJENIH AMERIČKIH DRŽAVA, AUSTRALIJE, KANADE, JAPANA, ŠVICARSKE, MEĐUNARODNOG FINANCIJSKOG CENTRA U DUBAIJU ILI JUŽNE AFRIKE ILI BILO KOJE DRUGE JURISDIKCIJE GDJE JE NEZAKONITO DISTRIBUIRATI OVU OBJAVU</w:t>
      </w:r>
    </w:p>
    <w:p w14:paraId="5572484B" w14:textId="77777777" w:rsidR="00837F2A" w:rsidRPr="00981F75" w:rsidRDefault="00837F2A" w:rsidP="00837F2A">
      <w:pPr>
        <w:pStyle w:val="NormalWeb"/>
        <w:jc w:val="both"/>
        <w:rPr>
          <w:rFonts w:asciiTheme="minorBidi" w:hAnsiTheme="minorBidi" w:cstheme="minorBidi"/>
          <w:i/>
          <w:iCs/>
          <w:sz w:val="20"/>
          <w:szCs w:val="20"/>
        </w:rPr>
      </w:pPr>
      <w:r w:rsidRPr="00981F75">
        <w:rPr>
          <w:rFonts w:asciiTheme="minorBidi" w:hAnsiTheme="minorBidi" w:cstheme="minorBidi"/>
          <w:i/>
          <w:iCs/>
          <w:sz w:val="20"/>
          <w:szCs w:val="20"/>
        </w:rPr>
        <w:t>Ova objava je oglas i nije prospekt u smislu Uredbe (EU) 2017/1129 Europskog parlamenta i Vijeća od 14. lipnja 2017. o prospektu koji je potrebno objaviti prilikom javne ponude vrijednosnih papira ili prilikom uvrštavanja za trgovanje na uređenom tržištu te stavljanju izvan snage Direktive 2003/71/EZ (“</w:t>
      </w:r>
      <w:r w:rsidRPr="00981F75">
        <w:rPr>
          <w:rFonts w:asciiTheme="minorBidi" w:hAnsiTheme="minorBidi" w:cstheme="minorBidi"/>
          <w:b/>
          <w:bCs/>
          <w:i/>
          <w:iCs/>
          <w:sz w:val="20"/>
          <w:szCs w:val="20"/>
        </w:rPr>
        <w:t>Uredba o prospektu</w:t>
      </w:r>
      <w:r w:rsidRPr="00981F75">
        <w:rPr>
          <w:rFonts w:asciiTheme="minorBidi" w:hAnsiTheme="minorBidi" w:cstheme="minorBidi"/>
          <w:i/>
          <w:iCs/>
          <w:sz w:val="20"/>
          <w:szCs w:val="20"/>
        </w:rPr>
        <w:t>”), i nije ponuda vrijednosnih papira za prodaju ili upis u bilo kojoj jurisdikciji, uključujući Sjedinjene Američke Države, Australiju, Kanadu, Japan, Švicarsku, Međunarodni financijski centar u Dubaiju ili Južnu Afriku.</w:t>
      </w:r>
    </w:p>
    <w:p w14:paraId="49C68334" w14:textId="05469264" w:rsidR="00837F2A" w:rsidRPr="00981F75" w:rsidRDefault="00837F2A" w:rsidP="00837F2A">
      <w:pPr>
        <w:pStyle w:val="NormalWeb"/>
        <w:jc w:val="both"/>
        <w:rPr>
          <w:rFonts w:asciiTheme="minorBidi" w:hAnsiTheme="minorBidi" w:cstheme="minorBidi"/>
          <w:i/>
          <w:sz w:val="20"/>
          <w:szCs w:val="20"/>
        </w:rPr>
      </w:pPr>
      <w:r w:rsidRPr="00981F75">
        <w:rPr>
          <w:rFonts w:asciiTheme="minorBidi" w:hAnsiTheme="minorBidi" w:cstheme="minorBidi"/>
          <w:bCs/>
          <w:i/>
          <w:sz w:val="20"/>
          <w:szCs w:val="20"/>
        </w:rPr>
        <w:t>Ni ova objava, niti išta sadržano u njoj, neće činiti osnovu za, niti se na nju ili bilo što sadržano u njoj može osloniti u vezi s, bilo kojom ponudom ili obvezom bilo koje vrste u bilo kojoj jurisdikciji. Savjetuje se potencijalnim ulagateljima pročitati prospekt prije donošenja bilo kakve odluke o ulaganju s ciljem da potpuno razumiju potencijalne rizike i koristi povezane s odlukom o ulaganju u vrijednosne papire. Ulagatelji ne bi trebali upisivati niti kupovati dionice navedene u ovoj objavi osim isključivo na temelju informacija sadržanih u prospektu u njegovom konačnom obliku (zajedno s bilo kojim dodacima i ažuriranim objavama, ako su relevantne, "</w:t>
      </w:r>
      <w:r w:rsidRPr="00981F75">
        <w:rPr>
          <w:rFonts w:asciiTheme="minorBidi" w:hAnsiTheme="minorBidi" w:cstheme="minorBidi"/>
          <w:b/>
          <w:i/>
          <w:sz w:val="20"/>
          <w:szCs w:val="20"/>
        </w:rPr>
        <w:t>Prospekt</w:t>
      </w:r>
      <w:r w:rsidRPr="00981F75">
        <w:rPr>
          <w:rFonts w:asciiTheme="minorBidi" w:hAnsiTheme="minorBidi" w:cstheme="minorBidi"/>
          <w:bCs/>
          <w:i/>
          <w:sz w:val="20"/>
          <w:szCs w:val="20"/>
        </w:rPr>
        <w:t>"), uključujući faktore rizika navedene u njemu,</w:t>
      </w:r>
      <w:r w:rsidRPr="00981F75">
        <w:rPr>
          <w:rFonts w:asciiTheme="minorBidi" w:hAnsiTheme="minorBidi" w:cstheme="minorBidi"/>
          <w:i/>
          <w:sz w:val="20"/>
          <w:szCs w:val="20"/>
        </w:rPr>
        <w:t xml:space="preserve"> a koji može biti objavljen od strane Studenac Group S.A. (“</w:t>
      </w:r>
      <w:r w:rsidRPr="00981F75">
        <w:rPr>
          <w:rFonts w:asciiTheme="minorBidi" w:hAnsiTheme="minorBidi" w:cstheme="minorBidi"/>
          <w:b/>
          <w:bCs/>
          <w:i/>
          <w:sz w:val="20"/>
          <w:szCs w:val="20"/>
        </w:rPr>
        <w:t>Društvo</w:t>
      </w:r>
      <w:r w:rsidRPr="00981F75">
        <w:rPr>
          <w:rFonts w:asciiTheme="minorBidi" w:hAnsiTheme="minorBidi" w:cstheme="minorBidi"/>
          <w:i/>
          <w:sz w:val="20"/>
          <w:szCs w:val="20"/>
        </w:rPr>
        <w:t>”) u dogledno vrijeme u vezi s mogućom ponudom dionica Društva (“</w:t>
      </w:r>
      <w:r w:rsidRPr="00981F75">
        <w:rPr>
          <w:rFonts w:asciiTheme="minorBidi" w:hAnsiTheme="minorBidi" w:cstheme="minorBidi"/>
          <w:b/>
          <w:bCs/>
          <w:i/>
          <w:sz w:val="20"/>
          <w:szCs w:val="20"/>
        </w:rPr>
        <w:t>Dionice</w:t>
      </w:r>
      <w:r w:rsidRPr="00981F75">
        <w:rPr>
          <w:rFonts w:asciiTheme="minorBidi" w:hAnsiTheme="minorBidi" w:cstheme="minorBidi"/>
          <w:i/>
          <w:sz w:val="20"/>
          <w:szCs w:val="20"/>
        </w:rPr>
        <w:t>”)</w:t>
      </w:r>
      <w:r w:rsidR="004223F2">
        <w:rPr>
          <w:rFonts w:asciiTheme="minorBidi" w:hAnsiTheme="minorBidi" w:cstheme="minorBidi"/>
          <w:i/>
          <w:sz w:val="20"/>
          <w:szCs w:val="20"/>
        </w:rPr>
        <w:t xml:space="preserve"> </w:t>
      </w:r>
      <w:r w:rsidR="004223F2" w:rsidRPr="00981F75">
        <w:rPr>
          <w:rFonts w:asciiTheme="minorBidi" w:hAnsiTheme="minorBidi" w:cstheme="minorBidi"/>
          <w:i/>
          <w:sz w:val="20"/>
          <w:szCs w:val="20"/>
        </w:rPr>
        <w:t>(„</w:t>
      </w:r>
      <w:r w:rsidR="004223F2" w:rsidRPr="00981F75">
        <w:rPr>
          <w:rFonts w:asciiTheme="minorBidi" w:hAnsiTheme="minorBidi" w:cstheme="minorBidi"/>
          <w:b/>
          <w:bCs/>
          <w:i/>
          <w:sz w:val="20"/>
          <w:szCs w:val="20"/>
        </w:rPr>
        <w:t>Ponuda</w:t>
      </w:r>
      <w:r w:rsidR="004223F2" w:rsidRPr="00981F75">
        <w:rPr>
          <w:rFonts w:asciiTheme="minorBidi" w:hAnsiTheme="minorBidi" w:cstheme="minorBidi"/>
          <w:i/>
          <w:sz w:val="20"/>
          <w:szCs w:val="20"/>
        </w:rPr>
        <w:t xml:space="preserve">“) </w:t>
      </w:r>
      <w:r w:rsidRPr="00981F75">
        <w:rPr>
          <w:rFonts w:asciiTheme="minorBidi" w:hAnsiTheme="minorBidi" w:cstheme="minorBidi"/>
          <w:i/>
          <w:sz w:val="20"/>
          <w:szCs w:val="20"/>
        </w:rPr>
        <w:t xml:space="preserve"> i mogućim uvrštenjem i uvođenjem takvih Dionica</w:t>
      </w:r>
      <w:r w:rsidR="00981F75">
        <w:rPr>
          <w:rFonts w:asciiTheme="minorBidi" w:hAnsiTheme="minorBidi" w:cstheme="minorBidi"/>
          <w:i/>
          <w:sz w:val="20"/>
          <w:szCs w:val="20"/>
        </w:rPr>
        <w:t xml:space="preserve"> </w:t>
      </w:r>
      <w:r w:rsidRPr="00981F75">
        <w:rPr>
          <w:rFonts w:asciiTheme="minorBidi" w:hAnsiTheme="minorBidi" w:cstheme="minorBidi"/>
          <w:i/>
          <w:sz w:val="20"/>
          <w:szCs w:val="20"/>
        </w:rPr>
        <w:t>za trgovanje na uređena tržišta Varšavske burze („</w:t>
      </w:r>
      <w:r w:rsidRPr="00981F75">
        <w:rPr>
          <w:rFonts w:asciiTheme="minorBidi" w:hAnsiTheme="minorBidi" w:cstheme="minorBidi"/>
          <w:b/>
          <w:bCs/>
          <w:i/>
          <w:sz w:val="20"/>
          <w:szCs w:val="20"/>
        </w:rPr>
        <w:t>WSE</w:t>
      </w:r>
      <w:r w:rsidRPr="00981F75">
        <w:rPr>
          <w:rFonts w:asciiTheme="minorBidi" w:hAnsiTheme="minorBidi" w:cstheme="minorBidi"/>
          <w:i/>
          <w:sz w:val="20"/>
          <w:szCs w:val="20"/>
        </w:rPr>
        <w:t>“) i Zagrebačke burze („</w:t>
      </w:r>
      <w:r w:rsidRPr="00981F75">
        <w:rPr>
          <w:rFonts w:asciiTheme="minorBidi" w:hAnsiTheme="minorBidi" w:cstheme="minorBidi"/>
          <w:b/>
          <w:bCs/>
          <w:i/>
          <w:sz w:val="20"/>
          <w:szCs w:val="20"/>
        </w:rPr>
        <w:t>ZSE</w:t>
      </w:r>
      <w:r w:rsidRPr="00981F75">
        <w:rPr>
          <w:rFonts w:asciiTheme="minorBidi" w:hAnsiTheme="minorBidi" w:cstheme="minorBidi"/>
          <w:i/>
          <w:sz w:val="20"/>
          <w:szCs w:val="20"/>
        </w:rPr>
        <w:t>“) (“</w:t>
      </w:r>
      <w:r w:rsidRPr="00981F75">
        <w:rPr>
          <w:rFonts w:asciiTheme="minorBidi" w:hAnsiTheme="minorBidi" w:cstheme="minorBidi"/>
          <w:b/>
          <w:bCs/>
          <w:i/>
          <w:sz w:val="20"/>
          <w:szCs w:val="20"/>
        </w:rPr>
        <w:t>Uvrštenje</w:t>
      </w:r>
      <w:r w:rsidRPr="00981F75">
        <w:rPr>
          <w:rFonts w:asciiTheme="minorBidi" w:hAnsiTheme="minorBidi" w:cstheme="minorBidi"/>
          <w:i/>
          <w:sz w:val="20"/>
          <w:szCs w:val="20"/>
        </w:rPr>
        <w:t xml:space="preserve">”). Odobrenje prospekta ne treba smatrati kao </w:t>
      </w:r>
      <w:r w:rsidR="004223F2">
        <w:rPr>
          <w:rFonts w:asciiTheme="minorBidi" w:hAnsiTheme="minorBidi" w:cstheme="minorBidi"/>
          <w:i/>
          <w:sz w:val="20"/>
          <w:szCs w:val="20"/>
        </w:rPr>
        <w:t>podršku ulaganju u</w:t>
      </w:r>
      <w:r w:rsidR="004223F2" w:rsidRPr="00981F75">
        <w:rPr>
          <w:rFonts w:asciiTheme="minorBidi" w:hAnsiTheme="minorBidi" w:cstheme="minorBidi"/>
          <w:i/>
          <w:sz w:val="20"/>
          <w:szCs w:val="20"/>
        </w:rPr>
        <w:t xml:space="preserve"> </w:t>
      </w:r>
      <w:r w:rsidRPr="00981F75">
        <w:rPr>
          <w:rFonts w:asciiTheme="minorBidi" w:hAnsiTheme="minorBidi" w:cstheme="minorBidi"/>
          <w:i/>
          <w:sz w:val="20"/>
          <w:szCs w:val="20"/>
        </w:rPr>
        <w:t>vrijednosn</w:t>
      </w:r>
      <w:r w:rsidR="004223F2">
        <w:rPr>
          <w:rFonts w:asciiTheme="minorBidi" w:hAnsiTheme="minorBidi" w:cstheme="minorBidi"/>
          <w:i/>
          <w:sz w:val="20"/>
          <w:szCs w:val="20"/>
        </w:rPr>
        <w:t>e</w:t>
      </w:r>
      <w:r w:rsidRPr="00981F75">
        <w:rPr>
          <w:rFonts w:asciiTheme="minorBidi" w:hAnsiTheme="minorBidi" w:cstheme="minorBidi"/>
          <w:i/>
          <w:sz w:val="20"/>
          <w:szCs w:val="20"/>
        </w:rPr>
        <w:t xml:space="preserve"> papir</w:t>
      </w:r>
      <w:r w:rsidR="004223F2">
        <w:rPr>
          <w:rFonts w:asciiTheme="minorBidi" w:hAnsiTheme="minorBidi" w:cstheme="minorBidi"/>
          <w:i/>
          <w:sz w:val="20"/>
          <w:szCs w:val="20"/>
        </w:rPr>
        <w:t>e</w:t>
      </w:r>
      <w:r w:rsidRPr="00981F75">
        <w:rPr>
          <w:rFonts w:asciiTheme="minorBidi" w:hAnsiTheme="minorBidi" w:cstheme="minorBidi"/>
          <w:i/>
          <w:sz w:val="20"/>
          <w:szCs w:val="20"/>
        </w:rPr>
        <w:t xml:space="preserve"> koji su ponuđeni ili uvršteni za trgovanje na reguliranom tržištu.</w:t>
      </w:r>
    </w:p>
    <w:p w14:paraId="5FA42F4A" w14:textId="77777777" w:rsidR="00837F2A" w:rsidRPr="00981F75" w:rsidRDefault="00837F2A" w:rsidP="00837F2A">
      <w:pPr>
        <w:pStyle w:val="NormalWeb"/>
        <w:jc w:val="both"/>
        <w:rPr>
          <w:rFonts w:asciiTheme="minorBidi" w:hAnsiTheme="minorBidi" w:cstheme="minorBidi"/>
          <w:i/>
          <w:sz w:val="20"/>
          <w:szCs w:val="20"/>
        </w:rPr>
      </w:pPr>
      <w:r w:rsidRPr="00981F75">
        <w:rPr>
          <w:rFonts w:asciiTheme="minorBidi" w:hAnsiTheme="minorBidi" w:cstheme="minorBidi"/>
          <w:i/>
          <w:sz w:val="20"/>
          <w:szCs w:val="20"/>
        </w:rPr>
        <w:t>Kopija bilo kojeg Prospekta zajedno s njegovim sažetkom prevedenim na poljski i hrvatski, objavit će se od strane Društva na web stranici Društva (</w:t>
      </w:r>
      <w:hyperlink r:id="rId8" w:tgtFrame="_new" w:history="1">
        <w:r w:rsidRPr="00981F75">
          <w:rPr>
            <w:rStyle w:val="Hyperlink"/>
            <w:rFonts w:asciiTheme="minorBidi" w:hAnsiTheme="minorBidi" w:cstheme="minorBidi"/>
            <w:i/>
            <w:sz w:val="20"/>
            <w:szCs w:val="20"/>
          </w:rPr>
          <w:t>https://www.studenacgroup.eu</w:t>
        </w:r>
      </w:hyperlink>
      <w:r w:rsidRPr="00981F75">
        <w:rPr>
          <w:rFonts w:asciiTheme="minorBidi" w:hAnsiTheme="minorBidi" w:cstheme="minorBidi"/>
          <w:i/>
          <w:sz w:val="20"/>
          <w:szCs w:val="20"/>
        </w:rPr>
        <w:t>) i na web stranici Luksemburške burze (</w:t>
      </w:r>
      <w:hyperlink r:id="rId9" w:history="1">
        <w:r w:rsidRPr="00981F75">
          <w:rPr>
            <w:rStyle w:val="Hyperlink"/>
            <w:rFonts w:asciiTheme="minorBidi" w:hAnsiTheme="minorBidi" w:cstheme="minorBidi"/>
            <w:i/>
            <w:sz w:val="20"/>
            <w:szCs w:val="20"/>
          </w:rPr>
          <w:t>www.luxse.com</w:t>
        </w:r>
      </w:hyperlink>
      <w:r w:rsidRPr="00981F75">
        <w:rPr>
          <w:rFonts w:asciiTheme="minorBidi" w:hAnsiTheme="minorBidi" w:cstheme="minorBidi"/>
          <w:i/>
          <w:sz w:val="20"/>
          <w:szCs w:val="20"/>
        </w:rPr>
        <w:t>).</w:t>
      </w:r>
    </w:p>
    <w:p w14:paraId="38B71C13" w14:textId="77777777" w:rsidR="00837F2A" w:rsidRPr="00981F75" w:rsidRDefault="00837F2A" w:rsidP="00837F2A">
      <w:pPr>
        <w:pStyle w:val="NormalWeb"/>
        <w:jc w:val="both"/>
        <w:rPr>
          <w:rFonts w:asciiTheme="minorBidi" w:hAnsiTheme="minorBidi" w:cstheme="minorBidi"/>
          <w:i/>
          <w:sz w:val="20"/>
          <w:szCs w:val="20"/>
        </w:rPr>
      </w:pPr>
      <w:r w:rsidRPr="00981F75">
        <w:rPr>
          <w:rFonts w:asciiTheme="minorBidi" w:hAnsiTheme="minorBidi" w:cstheme="minorBidi"/>
          <w:i/>
          <w:sz w:val="20"/>
          <w:szCs w:val="20"/>
        </w:rPr>
        <w:t>Rizik je sastavni dio svake odluke o ulaganju. Ulaganje u Dionice povezano je s nizom rizika, uključujući, ali ne ograničavajući se na, financijski rizik koji proizlazi iz pada cijene Dionica ili ograničenja njihove likvidnosti. Kod svih odluka o ulaganju potrebno je definirati budući profit i procijeniti rizik povezan s njim. Ulaganje u dionice podrazumijeva rizik gubitka dijela ili cijelog uloženog iznosa pa čak i potrebu snošenja dodatnih troškova.</w:t>
      </w:r>
    </w:p>
    <w:p w14:paraId="18F81DB3" w14:textId="77777777" w:rsidR="00837F2A" w:rsidRDefault="00837F2A" w:rsidP="00C47B26">
      <w:pPr>
        <w:spacing w:after="120" w:line="264" w:lineRule="auto"/>
        <w:rPr>
          <w:rFonts w:ascii="Arial" w:hAnsi="Arial" w:cs="Arial"/>
          <w:color w:val="222222"/>
          <w:sz w:val="20"/>
          <w:szCs w:val="20"/>
          <w:shd w:val="clear" w:color="auto" w:fill="FFFFFF"/>
        </w:rPr>
      </w:pPr>
    </w:p>
    <w:p w14:paraId="6F12450B" w14:textId="77777777" w:rsidR="00981F75" w:rsidRDefault="00981F75" w:rsidP="00C47B26">
      <w:pPr>
        <w:spacing w:after="120" w:line="264" w:lineRule="auto"/>
        <w:rPr>
          <w:rFonts w:ascii="Arial" w:hAnsi="Arial" w:cs="Arial"/>
          <w:color w:val="222222"/>
          <w:sz w:val="20"/>
          <w:szCs w:val="20"/>
          <w:shd w:val="clear" w:color="auto" w:fill="FFFFFF"/>
        </w:rPr>
      </w:pPr>
    </w:p>
    <w:p w14:paraId="4956D112" w14:textId="77777777" w:rsidR="00981F75" w:rsidRDefault="00981F75" w:rsidP="00C47B26">
      <w:pPr>
        <w:spacing w:after="120" w:line="264" w:lineRule="auto"/>
        <w:rPr>
          <w:rFonts w:ascii="Arial" w:hAnsi="Arial" w:cs="Arial"/>
          <w:color w:val="222222"/>
          <w:sz w:val="20"/>
          <w:szCs w:val="20"/>
          <w:shd w:val="clear" w:color="auto" w:fill="FFFFFF"/>
        </w:rPr>
      </w:pPr>
    </w:p>
    <w:p w14:paraId="5A50F7CC" w14:textId="77777777" w:rsidR="00981F75" w:rsidRDefault="00981F75" w:rsidP="00C47B26">
      <w:pPr>
        <w:spacing w:after="120" w:line="264" w:lineRule="auto"/>
        <w:rPr>
          <w:rFonts w:ascii="Arial" w:hAnsi="Arial" w:cs="Arial"/>
          <w:color w:val="222222"/>
          <w:sz w:val="20"/>
          <w:szCs w:val="20"/>
          <w:shd w:val="clear" w:color="auto" w:fill="FFFFFF"/>
        </w:rPr>
      </w:pPr>
    </w:p>
    <w:p w14:paraId="67E24620" w14:textId="77777777" w:rsidR="00981F75" w:rsidRDefault="00981F75" w:rsidP="00C47B26">
      <w:pPr>
        <w:spacing w:after="120" w:line="264" w:lineRule="auto"/>
        <w:rPr>
          <w:rFonts w:ascii="Arial" w:hAnsi="Arial" w:cs="Arial"/>
          <w:color w:val="222222"/>
          <w:sz w:val="20"/>
          <w:szCs w:val="20"/>
          <w:shd w:val="clear" w:color="auto" w:fill="FFFFFF"/>
        </w:rPr>
      </w:pPr>
    </w:p>
    <w:p w14:paraId="68B57E62" w14:textId="77777777" w:rsidR="00981F75" w:rsidRDefault="00981F75" w:rsidP="00C47B26">
      <w:pPr>
        <w:spacing w:after="120" w:line="264" w:lineRule="auto"/>
        <w:rPr>
          <w:rFonts w:ascii="Arial" w:hAnsi="Arial" w:cs="Arial"/>
          <w:color w:val="222222"/>
          <w:sz w:val="20"/>
          <w:szCs w:val="20"/>
          <w:shd w:val="clear" w:color="auto" w:fill="FFFFFF"/>
        </w:rPr>
      </w:pPr>
    </w:p>
    <w:p w14:paraId="418FECFF" w14:textId="77777777" w:rsidR="00981F75" w:rsidRDefault="00981F75" w:rsidP="00C47B26">
      <w:pPr>
        <w:spacing w:after="120" w:line="264" w:lineRule="auto"/>
        <w:rPr>
          <w:rFonts w:ascii="Arial" w:hAnsi="Arial" w:cs="Arial"/>
          <w:color w:val="222222"/>
          <w:sz w:val="20"/>
          <w:szCs w:val="20"/>
          <w:shd w:val="clear" w:color="auto" w:fill="FFFFFF"/>
        </w:rPr>
      </w:pPr>
    </w:p>
    <w:p w14:paraId="62985B59" w14:textId="77777777" w:rsidR="00981F75" w:rsidRDefault="00981F75" w:rsidP="00C47B26">
      <w:pPr>
        <w:spacing w:after="120" w:line="264" w:lineRule="auto"/>
        <w:rPr>
          <w:rFonts w:ascii="Arial" w:hAnsi="Arial" w:cs="Arial"/>
          <w:color w:val="222222"/>
          <w:sz w:val="20"/>
          <w:szCs w:val="20"/>
          <w:shd w:val="clear" w:color="auto" w:fill="FFFFFF"/>
        </w:rPr>
      </w:pPr>
    </w:p>
    <w:p w14:paraId="257613C1" w14:textId="77777777" w:rsidR="00981F75" w:rsidRDefault="00981F75" w:rsidP="00C47B26">
      <w:pPr>
        <w:spacing w:after="120" w:line="264" w:lineRule="auto"/>
        <w:rPr>
          <w:rFonts w:ascii="Arial" w:hAnsi="Arial" w:cs="Arial"/>
          <w:color w:val="222222"/>
          <w:sz w:val="20"/>
          <w:szCs w:val="20"/>
          <w:shd w:val="clear" w:color="auto" w:fill="FFFFFF"/>
        </w:rPr>
      </w:pPr>
    </w:p>
    <w:p w14:paraId="6DBFB0AD" w14:textId="77777777" w:rsidR="00981F75" w:rsidRDefault="00981F75" w:rsidP="00C47B26">
      <w:pPr>
        <w:spacing w:after="120" w:line="264" w:lineRule="auto"/>
        <w:rPr>
          <w:rFonts w:ascii="Arial" w:hAnsi="Arial" w:cs="Arial"/>
          <w:color w:val="222222"/>
          <w:sz w:val="20"/>
          <w:szCs w:val="20"/>
          <w:shd w:val="clear" w:color="auto" w:fill="FFFFFF"/>
        </w:rPr>
      </w:pPr>
    </w:p>
    <w:p w14:paraId="3B76BFA6" w14:textId="77777777" w:rsidR="00981F75" w:rsidRPr="00981F75" w:rsidRDefault="00981F75" w:rsidP="00C47B26">
      <w:pPr>
        <w:spacing w:after="120" w:line="264" w:lineRule="auto"/>
        <w:rPr>
          <w:rFonts w:ascii="Arial" w:hAnsi="Arial" w:cs="Arial"/>
          <w:color w:val="222222"/>
          <w:sz w:val="20"/>
          <w:szCs w:val="20"/>
          <w:shd w:val="clear" w:color="auto" w:fill="FFFFFF"/>
        </w:rPr>
      </w:pPr>
    </w:p>
    <w:p w14:paraId="07D50B67" w14:textId="34757436" w:rsidR="00027819" w:rsidRPr="00981F75" w:rsidRDefault="006B36F7" w:rsidP="00C47B26">
      <w:pPr>
        <w:spacing w:after="120" w:line="264" w:lineRule="auto"/>
        <w:rPr>
          <w:rFonts w:ascii="Arial" w:hAnsi="Arial" w:cs="Arial"/>
          <w:color w:val="222222"/>
          <w:sz w:val="20"/>
          <w:szCs w:val="20"/>
          <w:shd w:val="clear" w:color="auto" w:fill="FFFFFF"/>
        </w:rPr>
      </w:pPr>
      <w:r w:rsidRPr="00981F75">
        <w:rPr>
          <w:rFonts w:ascii="Arial" w:hAnsi="Arial" w:cs="Arial"/>
          <w:color w:val="222222"/>
          <w:sz w:val="20"/>
          <w:szCs w:val="20"/>
          <w:shd w:val="clear" w:color="auto" w:fill="FFFFFF"/>
        </w:rPr>
        <w:lastRenderedPageBreak/>
        <w:t>PRIOPĆENJE ZA MEDIJE</w:t>
      </w:r>
    </w:p>
    <w:p w14:paraId="132318D5" w14:textId="541340BB" w:rsidR="00027819" w:rsidRPr="00981F75" w:rsidRDefault="00242E59" w:rsidP="00027819">
      <w:pPr>
        <w:spacing w:after="120" w:line="264" w:lineRule="auto"/>
        <w:jc w:val="right"/>
        <w:rPr>
          <w:rFonts w:ascii="Arial" w:hAnsi="Arial" w:cs="Arial"/>
          <w:color w:val="222222"/>
          <w:sz w:val="22"/>
          <w:szCs w:val="22"/>
          <w:shd w:val="clear" w:color="auto" w:fill="FFFFFF"/>
        </w:rPr>
      </w:pPr>
      <w:r>
        <w:rPr>
          <w:rFonts w:ascii="Arial" w:hAnsi="Arial" w:cs="Arial"/>
          <w:color w:val="222222"/>
          <w:sz w:val="22"/>
          <w:szCs w:val="22"/>
          <w:shd w:val="clear" w:color="auto" w:fill="FFFFFF"/>
        </w:rPr>
        <w:t>7</w:t>
      </w:r>
      <w:r w:rsidR="00837F2A" w:rsidRPr="00981F75">
        <w:rPr>
          <w:rFonts w:ascii="Arial" w:hAnsi="Arial" w:cs="Arial"/>
          <w:sz w:val="22"/>
          <w:szCs w:val="22"/>
        </w:rPr>
        <w:t>.</w:t>
      </w:r>
      <w:r w:rsidR="006B36F7" w:rsidRPr="00981F75">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studenog </w:t>
      </w:r>
      <w:r w:rsidR="00027819" w:rsidRPr="00981F75">
        <w:rPr>
          <w:rFonts w:ascii="Arial" w:hAnsi="Arial" w:cs="Arial"/>
          <w:color w:val="222222"/>
          <w:sz w:val="22"/>
          <w:szCs w:val="22"/>
          <w:shd w:val="clear" w:color="auto" w:fill="FFFFFF"/>
        </w:rPr>
        <w:t>2024</w:t>
      </w:r>
      <w:r w:rsidR="006B36F7" w:rsidRPr="00981F75">
        <w:rPr>
          <w:rFonts w:ascii="Arial" w:hAnsi="Arial" w:cs="Arial"/>
          <w:color w:val="222222"/>
          <w:sz w:val="22"/>
          <w:szCs w:val="22"/>
          <w:shd w:val="clear" w:color="auto" w:fill="FFFFFF"/>
        </w:rPr>
        <w:t>.</w:t>
      </w:r>
    </w:p>
    <w:p w14:paraId="447C4F83" w14:textId="77777777" w:rsidR="00027819" w:rsidRPr="00981F75" w:rsidRDefault="00027819" w:rsidP="00C47B26">
      <w:pPr>
        <w:spacing w:after="120" w:line="264" w:lineRule="auto"/>
        <w:rPr>
          <w:rFonts w:ascii="Arial" w:hAnsi="Arial" w:cs="Arial"/>
          <w:color w:val="222222"/>
          <w:sz w:val="22"/>
          <w:szCs w:val="22"/>
          <w:shd w:val="clear" w:color="auto" w:fill="FFFFFF"/>
        </w:rPr>
      </w:pPr>
    </w:p>
    <w:p w14:paraId="7C185A91" w14:textId="22E82401" w:rsidR="006B36F7" w:rsidRPr="00450CCD" w:rsidRDefault="002235C7" w:rsidP="00FB2F57">
      <w:pPr>
        <w:pStyle w:val="NormalWeb"/>
        <w:spacing w:after="120" w:line="264" w:lineRule="auto"/>
        <w:jc w:val="center"/>
        <w:rPr>
          <w:rStyle w:val="Strong"/>
          <w:rFonts w:ascii="Arial" w:hAnsi="Arial" w:cs="Arial"/>
          <w:b w:val="0"/>
        </w:rPr>
      </w:pPr>
      <w:r w:rsidRPr="00450CCD">
        <w:rPr>
          <w:rStyle w:val="Strong"/>
          <w:rFonts w:ascii="Arial" w:hAnsi="Arial" w:cs="Arial"/>
          <w:b w:val="0"/>
        </w:rPr>
        <w:t xml:space="preserve">Studenac </w:t>
      </w:r>
      <w:r w:rsidR="00235474" w:rsidRPr="00450CCD">
        <w:rPr>
          <w:rStyle w:val="Strong"/>
          <w:rFonts w:ascii="Arial" w:hAnsi="Arial" w:cs="Arial"/>
          <w:b w:val="0"/>
        </w:rPr>
        <w:t xml:space="preserve">Group </w:t>
      </w:r>
      <w:r w:rsidR="0018587A" w:rsidRPr="00450CCD">
        <w:rPr>
          <w:rStyle w:val="Strong"/>
          <w:rFonts w:ascii="Arial" w:hAnsi="Arial" w:cs="Arial"/>
          <w:b w:val="0"/>
        </w:rPr>
        <w:t xml:space="preserve">S.A. </w:t>
      </w:r>
      <w:r w:rsidR="006B36F7" w:rsidRPr="00450CCD">
        <w:rPr>
          <w:rStyle w:val="Strong"/>
          <w:rFonts w:ascii="Arial" w:hAnsi="Arial" w:cs="Arial"/>
          <w:b w:val="0"/>
        </w:rPr>
        <w:t>najavila namjeru inicijalne javne ponude i uvrštenje svojih dionica na burzama u Zagrebu i Varšavi</w:t>
      </w:r>
      <w:r w:rsidR="00981F75" w:rsidRPr="00450CCD">
        <w:rPr>
          <w:rStyle w:val="Strong"/>
          <w:rFonts w:ascii="Arial" w:hAnsi="Arial" w:cs="Arial"/>
          <w:b w:val="0"/>
        </w:rPr>
        <w:t xml:space="preserve"> </w:t>
      </w:r>
    </w:p>
    <w:p w14:paraId="4504E48A" w14:textId="77777777" w:rsidR="004F35D0" w:rsidRPr="00450CCD" w:rsidRDefault="004F35D0" w:rsidP="00AE733D">
      <w:pPr>
        <w:pStyle w:val="NormalWeb"/>
        <w:spacing w:before="0" w:beforeAutospacing="0" w:after="120" w:afterAutospacing="0" w:line="264" w:lineRule="auto"/>
        <w:rPr>
          <w:rFonts w:ascii="Arial" w:hAnsi="Arial" w:cs="Arial"/>
          <w:sz w:val="22"/>
          <w:szCs w:val="22"/>
        </w:rPr>
      </w:pPr>
    </w:p>
    <w:p w14:paraId="2F8BE2FE" w14:textId="51B45DD1" w:rsidR="006B36F7" w:rsidRPr="00981F75" w:rsidRDefault="00AE733D" w:rsidP="00AE733D">
      <w:pPr>
        <w:pStyle w:val="NormalWeb"/>
        <w:spacing w:before="0" w:beforeAutospacing="0" w:after="120" w:afterAutospacing="0" w:line="264" w:lineRule="auto"/>
        <w:jc w:val="both"/>
        <w:rPr>
          <w:rFonts w:ascii="Arial" w:hAnsi="Arial" w:cs="Arial"/>
          <w:b/>
          <w:bCs/>
          <w:sz w:val="22"/>
          <w:szCs w:val="22"/>
        </w:rPr>
      </w:pPr>
      <w:bookmarkStart w:id="2" w:name="_GoBack"/>
      <w:r w:rsidRPr="00981F75">
        <w:rPr>
          <w:rFonts w:ascii="Arial" w:hAnsi="Arial" w:cs="Arial"/>
          <w:b/>
          <w:bCs/>
          <w:sz w:val="22"/>
          <w:szCs w:val="22"/>
        </w:rPr>
        <w:t xml:space="preserve">Studenac </w:t>
      </w:r>
      <w:r w:rsidR="00235474">
        <w:rPr>
          <w:rFonts w:ascii="Arial" w:hAnsi="Arial" w:cs="Arial"/>
          <w:b/>
          <w:bCs/>
          <w:sz w:val="22"/>
          <w:szCs w:val="22"/>
        </w:rPr>
        <w:t>Group</w:t>
      </w:r>
      <w:r w:rsidR="00235474" w:rsidRPr="00981F75">
        <w:rPr>
          <w:rFonts w:ascii="Arial" w:hAnsi="Arial" w:cs="Arial"/>
          <w:b/>
          <w:bCs/>
          <w:sz w:val="22"/>
          <w:szCs w:val="22"/>
        </w:rPr>
        <w:t xml:space="preserve"> </w:t>
      </w:r>
      <w:r w:rsidRPr="00981F75">
        <w:rPr>
          <w:rFonts w:ascii="Arial" w:hAnsi="Arial" w:cs="Arial"/>
          <w:b/>
          <w:bCs/>
          <w:sz w:val="22"/>
          <w:szCs w:val="22"/>
        </w:rPr>
        <w:t>S.A.</w:t>
      </w:r>
      <w:r w:rsidR="00EB2C89" w:rsidRPr="00981F75">
        <w:rPr>
          <w:rFonts w:ascii="Arial" w:hAnsi="Arial" w:cs="Arial"/>
          <w:b/>
          <w:bCs/>
          <w:sz w:val="22"/>
          <w:szCs w:val="22"/>
        </w:rPr>
        <w:t xml:space="preserve"> (“Studenac” </w:t>
      </w:r>
      <w:r w:rsidR="006B36F7" w:rsidRPr="00981F75">
        <w:rPr>
          <w:rFonts w:ascii="Arial" w:hAnsi="Arial" w:cs="Arial"/>
          <w:b/>
          <w:bCs/>
          <w:sz w:val="22"/>
          <w:szCs w:val="22"/>
        </w:rPr>
        <w:t xml:space="preserve">ili </w:t>
      </w:r>
      <w:r w:rsidR="00B20381" w:rsidRPr="00981F75">
        <w:rPr>
          <w:rFonts w:ascii="Arial" w:hAnsi="Arial" w:cs="Arial"/>
          <w:b/>
          <w:bCs/>
          <w:sz w:val="22"/>
          <w:szCs w:val="22"/>
        </w:rPr>
        <w:t>“</w:t>
      </w:r>
      <w:r w:rsidR="00D0272C" w:rsidRPr="00981F75">
        <w:rPr>
          <w:rFonts w:ascii="Arial" w:hAnsi="Arial" w:cs="Arial"/>
          <w:b/>
          <w:bCs/>
          <w:sz w:val="22"/>
          <w:szCs w:val="22"/>
        </w:rPr>
        <w:t>Društvo</w:t>
      </w:r>
      <w:r w:rsidR="00EB2C89" w:rsidRPr="00981F75">
        <w:rPr>
          <w:rFonts w:ascii="Arial" w:hAnsi="Arial" w:cs="Arial"/>
          <w:b/>
          <w:bCs/>
          <w:sz w:val="22"/>
          <w:szCs w:val="22"/>
        </w:rPr>
        <w:t>”)</w:t>
      </w:r>
      <w:r w:rsidRPr="00981F75">
        <w:rPr>
          <w:rFonts w:ascii="Arial" w:hAnsi="Arial" w:cs="Arial"/>
          <w:b/>
          <w:bCs/>
          <w:sz w:val="22"/>
          <w:szCs w:val="22"/>
        </w:rPr>
        <w:t>,</w:t>
      </w:r>
      <w:r w:rsidR="006B36F7" w:rsidRPr="00981F75">
        <w:rPr>
          <w:rFonts w:ascii="Arial" w:hAnsi="Arial" w:cs="Arial"/>
          <w:b/>
          <w:bCs/>
          <w:sz w:val="22"/>
          <w:szCs w:val="22"/>
        </w:rPr>
        <w:t xml:space="preserve"> </w:t>
      </w:r>
      <w:r w:rsidR="00837F2A" w:rsidRPr="00981F75">
        <w:rPr>
          <w:rFonts w:ascii="Arial" w:hAnsi="Arial" w:cs="Arial"/>
          <w:b/>
          <w:bCs/>
          <w:sz w:val="22"/>
          <w:szCs w:val="22"/>
        </w:rPr>
        <w:t xml:space="preserve">koju čini </w:t>
      </w:r>
      <w:r w:rsidR="006B36F7" w:rsidRPr="00981F75">
        <w:rPr>
          <w:rFonts w:ascii="Arial" w:hAnsi="Arial" w:cs="Arial"/>
          <w:b/>
          <w:bCs/>
          <w:sz w:val="22"/>
          <w:szCs w:val="22"/>
        </w:rPr>
        <w:t>jedan od najbrže rastućih maloprodajnih lanaca u srednjoj i istočnoj Europi</w:t>
      </w:r>
      <w:r w:rsidR="006A16B6">
        <w:rPr>
          <w:rFonts w:ascii="Arial" w:hAnsi="Arial" w:cs="Arial"/>
          <w:b/>
          <w:bCs/>
          <w:sz w:val="22"/>
          <w:szCs w:val="22"/>
        </w:rPr>
        <w:t>,</w:t>
      </w:r>
      <w:r w:rsidR="00837F2A" w:rsidRPr="00981F75">
        <w:rPr>
          <w:rFonts w:ascii="Arial" w:hAnsi="Arial" w:cs="Arial"/>
          <w:b/>
          <w:bCs/>
          <w:sz w:val="22"/>
          <w:szCs w:val="22"/>
        </w:rPr>
        <w:t xml:space="preserve"> sa sjedištem u Hrvatskoj,</w:t>
      </w:r>
      <w:r w:rsidR="006B36F7" w:rsidRPr="00981F75">
        <w:rPr>
          <w:rFonts w:ascii="Arial" w:hAnsi="Arial" w:cs="Arial"/>
          <w:b/>
          <w:bCs/>
          <w:sz w:val="22"/>
          <w:szCs w:val="22"/>
        </w:rPr>
        <w:t xml:space="preserve"> najavila je namjeru inicijalne javne ponude svojih dionica. </w:t>
      </w:r>
      <w:r w:rsidR="00A96B8B" w:rsidRPr="00981F75">
        <w:rPr>
          <w:rFonts w:ascii="Arial" w:hAnsi="Arial" w:cs="Arial"/>
          <w:b/>
          <w:bCs/>
          <w:sz w:val="22"/>
          <w:szCs w:val="22"/>
        </w:rPr>
        <w:t>Očekuje se da će p</w:t>
      </w:r>
      <w:r w:rsidR="006B36F7" w:rsidRPr="00981F75">
        <w:rPr>
          <w:rFonts w:ascii="Arial" w:hAnsi="Arial" w:cs="Arial"/>
          <w:b/>
          <w:bCs/>
          <w:sz w:val="22"/>
          <w:szCs w:val="22"/>
        </w:rPr>
        <w:t>onuda uključivati izda</w:t>
      </w:r>
      <w:r w:rsidR="00EC04C3">
        <w:rPr>
          <w:rFonts w:ascii="Arial" w:hAnsi="Arial" w:cs="Arial"/>
          <w:b/>
          <w:bCs/>
          <w:sz w:val="22"/>
          <w:szCs w:val="22"/>
        </w:rPr>
        <w:t>va</w:t>
      </w:r>
      <w:r w:rsidR="006B36F7" w:rsidRPr="00981F75">
        <w:rPr>
          <w:rFonts w:ascii="Arial" w:hAnsi="Arial" w:cs="Arial"/>
          <w:b/>
          <w:bCs/>
          <w:sz w:val="22"/>
          <w:szCs w:val="22"/>
        </w:rPr>
        <w:t>nje novih dionica kao i prodaju postojećih dionica.</w:t>
      </w:r>
      <w:r w:rsidR="0062003D" w:rsidRPr="00981F75">
        <w:rPr>
          <w:rFonts w:ascii="Arial" w:hAnsi="Arial" w:cs="Arial"/>
          <w:b/>
          <w:bCs/>
          <w:sz w:val="22"/>
          <w:szCs w:val="22"/>
        </w:rPr>
        <w:t xml:space="preserve"> Ponuda će biti usmjerena prema malim</w:t>
      </w:r>
      <w:r w:rsidR="00EC04C3">
        <w:rPr>
          <w:rFonts w:ascii="Arial" w:hAnsi="Arial" w:cs="Arial"/>
          <w:b/>
          <w:bCs/>
          <w:sz w:val="22"/>
          <w:szCs w:val="22"/>
        </w:rPr>
        <w:t xml:space="preserve"> ulagateljima</w:t>
      </w:r>
      <w:r w:rsidR="0062003D" w:rsidRPr="00981F75">
        <w:rPr>
          <w:rFonts w:ascii="Arial" w:hAnsi="Arial" w:cs="Arial"/>
          <w:b/>
          <w:bCs/>
          <w:sz w:val="22"/>
          <w:szCs w:val="22"/>
        </w:rPr>
        <w:t xml:space="preserve"> i institucionalnim ulagateljima u Hrvatskoj i Poljskoj</w:t>
      </w:r>
      <w:r w:rsidR="002A0FF7">
        <w:rPr>
          <w:rFonts w:ascii="Arial" w:hAnsi="Arial" w:cs="Arial"/>
          <w:b/>
          <w:bCs/>
          <w:sz w:val="22"/>
          <w:szCs w:val="22"/>
        </w:rPr>
        <w:t>, kvalificiranim institucionalnim kupcima u Sjedinjenim Američkim Državama</w:t>
      </w:r>
      <w:r w:rsidR="0062003D" w:rsidRPr="00981F75">
        <w:rPr>
          <w:rFonts w:ascii="Arial" w:hAnsi="Arial" w:cs="Arial"/>
          <w:b/>
          <w:bCs/>
          <w:sz w:val="22"/>
          <w:szCs w:val="22"/>
        </w:rPr>
        <w:t xml:space="preserve"> te odabranim </w:t>
      </w:r>
      <w:r w:rsidR="002A0FF7">
        <w:rPr>
          <w:rFonts w:ascii="Arial" w:hAnsi="Arial" w:cs="Arial"/>
          <w:b/>
          <w:bCs/>
          <w:sz w:val="22"/>
          <w:szCs w:val="22"/>
        </w:rPr>
        <w:t>međunarodnim</w:t>
      </w:r>
      <w:r w:rsidR="0062003D" w:rsidRPr="00981F75">
        <w:rPr>
          <w:rFonts w:ascii="Arial" w:hAnsi="Arial" w:cs="Arial"/>
          <w:b/>
          <w:bCs/>
          <w:sz w:val="22"/>
          <w:szCs w:val="22"/>
        </w:rPr>
        <w:t xml:space="preserve"> institucionalnim </w:t>
      </w:r>
      <w:r w:rsidR="0014103E" w:rsidRPr="00981F75">
        <w:rPr>
          <w:rFonts w:ascii="Arial" w:hAnsi="Arial" w:cs="Arial"/>
          <w:b/>
          <w:bCs/>
          <w:sz w:val="22"/>
          <w:szCs w:val="22"/>
        </w:rPr>
        <w:t xml:space="preserve">ulagateljima </w:t>
      </w:r>
      <w:r w:rsidR="0062003D" w:rsidRPr="00981F75">
        <w:rPr>
          <w:rFonts w:ascii="Arial" w:hAnsi="Arial" w:cs="Arial"/>
          <w:b/>
          <w:bCs/>
          <w:sz w:val="22"/>
          <w:szCs w:val="22"/>
        </w:rPr>
        <w:t xml:space="preserve">u </w:t>
      </w:r>
      <w:r w:rsidR="002A0FF7">
        <w:rPr>
          <w:rFonts w:ascii="Arial" w:hAnsi="Arial" w:cs="Arial"/>
          <w:b/>
          <w:bCs/>
          <w:sz w:val="22"/>
          <w:szCs w:val="22"/>
        </w:rPr>
        <w:t xml:space="preserve">drugim </w:t>
      </w:r>
      <w:r w:rsidR="0062003D" w:rsidRPr="00981F75">
        <w:rPr>
          <w:rFonts w:ascii="Arial" w:hAnsi="Arial" w:cs="Arial"/>
          <w:b/>
          <w:bCs/>
          <w:sz w:val="22"/>
          <w:szCs w:val="22"/>
        </w:rPr>
        <w:t xml:space="preserve">određenim jurisdikcijama. Studenac planira tražiti uvrštenje i uvođenje dionica </w:t>
      </w:r>
      <w:r w:rsidR="00D0272C" w:rsidRPr="00981F75">
        <w:rPr>
          <w:rFonts w:ascii="Arial" w:hAnsi="Arial" w:cs="Arial"/>
          <w:b/>
          <w:bCs/>
          <w:sz w:val="22"/>
          <w:szCs w:val="22"/>
        </w:rPr>
        <w:t>Društva</w:t>
      </w:r>
      <w:r w:rsidR="0062003D" w:rsidRPr="00981F75">
        <w:rPr>
          <w:rFonts w:ascii="Arial" w:hAnsi="Arial" w:cs="Arial"/>
          <w:b/>
          <w:bCs/>
          <w:sz w:val="22"/>
          <w:szCs w:val="22"/>
        </w:rPr>
        <w:t xml:space="preserve"> </w:t>
      </w:r>
      <w:r w:rsidR="00FD6EAE">
        <w:rPr>
          <w:rFonts w:ascii="Arial" w:hAnsi="Arial" w:cs="Arial"/>
          <w:b/>
          <w:bCs/>
          <w:sz w:val="22"/>
          <w:szCs w:val="22"/>
        </w:rPr>
        <w:t>za</w:t>
      </w:r>
      <w:r w:rsidR="0062003D" w:rsidRPr="00981F75">
        <w:rPr>
          <w:rFonts w:ascii="Arial" w:hAnsi="Arial" w:cs="Arial"/>
          <w:b/>
          <w:bCs/>
          <w:sz w:val="22"/>
          <w:szCs w:val="22"/>
        </w:rPr>
        <w:t xml:space="preserve"> trgovanje na uređenom tržištu </w:t>
      </w:r>
      <w:r w:rsidR="00C70B03" w:rsidRPr="00981F75">
        <w:rPr>
          <w:rFonts w:ascii="Arial" w:hAnsi="Arial" w:cs="Arial"/>
          <w:b/>
          <w:bCs/>
          <w:sz w:val="22"/>
          <w:szCs w:val="22"/>
        </w:rPr>
        <w:t xml:space="preserve">Varšavske </w:t>
      </w:r>
      <w:r w:rsidR="0062003D" w:rsidRPr="00981F75">
        <w:rPr>
          <w:rFonts w:ascii="Arial" w:hAnsi="Arial" w:cs="Arial"/>
          <w:b/>
          <w:bCs/>
          <w:sz w:val="22"/>
          <w:szCs w:val="22"/>
        </w:rPr>
        <w:t>burze i uvrštenje</w:t>
      </w:r>
      <w:r w:rsidR="00C70B03">
        <w:rPr>
          <w:rFonts w:ascii="Arial" w:hAnsi="Arial" w:cs="Arial"/>
          <w:b/>
          <w:bCs/>
          <w:sz w:val="22"/>
          <w:szCs w:val="22"/>
        </w:rPr>
        <w:t xml:space="preserve"> za trgovanje</w:t>
      </w:r>
      <w:r w:rsidR="0062003D" w:rsidRPr="00981F75">
        <w:rPr>
          <w:rFonts w:ascii="Arial" w:hAnsi="Arial" w:cs="Arial"/>
          <w:b/>
          <w:bCs/>
          <w:sz w:val="22"/>
          <w:szCs w:val="22"/>
        </w:rPr>
        <w:t xml:space="preserve"> na uređenom tržištu </w:t>
      </w:r>
      <w:r w:rsidR="00C70B03">
        <w:rPr>
          <w:rFonts w:ascii="Arial" w:hAnsi="Arial" w:cs="Arial"/>
          <w:b/>
          <w:bCs/>
          <w:sz w:val="22"/>
          <w:szCs w:val="22"/>
        </w:rPr>
        <w:t>Zagrebačke</w:t>
      </w:r>
      <w:r w:rsidR="00C70B03" w:rsidRPr="00981F75">
        <w:rPr>
          <w:rFonts w:ascii="Arial" w:hAnsi="Arial" w:cs="Arial"/>
          <w:b/>
          <w:bCs/>
          <w:sz w:val="22"/>
          <w:szCs w:val="22"/>
        </w:rPr>
        <w:t xml:space="preserve"> </w:t>
      </w:r>
      <w:r w:rsidR="0062003D" w:rsidRPr="00981F75">
        <w:rPr>
          <w:rFonts w:ascii="Arial" w:hAnsi="Arial" w:cs="Arial"/>
          <w:b/>
          <w:bCs/>
          <w:sz w:val="22"/>
          <w:szCs w:val="22"/>
        </w:rPr>
        <w:t>burze.</w:t>
      </w:r>
    </w:p>
    <w:p w14:paraId="44313BC0" w14:textId="77777777" w:rsidR="006B36F7" w:rsidRPr="00981F75" w:rsidRDefault="006B36F7" w:rsidP="00AE733D">
      <w:pPr>
        <w:pStyle w:val="NormalWeb"/>
        <w:spacing w:before="0" w:beforeAutospacing="0" w:after="120" w:afterAutospacing="0" w:line="264" w:lineRule="auto"/>
        <w:jc w:val="both"/>
        <w:rPr>
          <w:rFonts w:ascii="Arial" w:hAnsi="Arial" w:cs="Arial"/>
          <w:b/>
          <w:bCs/>
          <w:sz w:val="22"/>
          <w:szCs w:val="22"/>
        </w:rPr>
      </w:pPr>
    </w:p>
    <w:p w14:paraId="1F167B65" w14:textId="5FC3B803" w:rsidR="000A207E" w:rsidRPr="00981F75" w:rsidRDefault="000A207E" w:rsidP="00AE733D">
      <w:pPr>
        <w:pStyle w:val="NormalWeb"/>
        <w:spacing w:before="0" w:beforeAutospacing="0" w:after="120" w:afterAutospacing="0" w:line="264" w:lineRule="auto"/>
        <w:jc w:val="both"/>
        <w:rPr>
          <w:rFonts w:ascii="Arial" w:hAnsi="Arial" w:cs="Arial"/>
          <w:sz w:val="22"/>
          <w:szCs w:val="22"/>
        </w:rPr>
      </w:pPr>
      <w:r w:rsidRPr="00981F75">
        <w:rPr>
          <w:rFonts w:ascii="Arial" w:hAnsi="Arial" w:cs="Arial"/>
          <w:b/>
          <w:bCs/>
          <w:sz w:val="22"/>
          <w:szCs w:val="22"/>
        </w:rPr>
        <w:t>Michał Seńczuk</w:t>
      </w:r>
      <w:r w:rsidRPr="00981F75">
        <w:rPr>
          <w:rFonts w:ascii="Arial" w:hAnsi="Arial" w:cs="Arial"/>
          <w:sz w:val="22"/>
          <w:szCs w:val="22"/>
        </w:rPr>
        <w:t xml:space="preserve">, </w:t>
      </w:r>
      <w:r w:rsidRPr="00981F75">
        <w:rPr>
          <w:rFonts w:ascii="Arial" w:hAnsi="Arial" w:cs="Arial"/>
          <w:b/>
          <w:bCs/>
          <w:sz w:val="22"/>
          <w:szCs w:val="22"/>
        </w:rPr>
        <w:t>predsjednik Uprave Studenca</w:t>
      </w:r>
      <w:r w:rsidRPr="00981F75">
        <w:rPr>
          <w:rFonts w:ascii="Arial" w:hAnsi="Arial" w:cs="Arial"/>
          <w:sz w:val="22"/>
          <w:szCs w:val="22"/>
        </w:rPr>
        <w:t>, komentirao je današnju najavu:</w:t>
      </w:r>
    </w:p>
    <w:p w14:paraId="33941341" w14:textId="2DE569BF" w:rsidR="000A207E" w:rsidRPr="00981F75" w:rsidRDefault="000A207E" w:rsidP="00A96B8B">
      <w:pPr>
        <w:pStyle w:val="NormalWeb"/>
        <w:spacing w:before="0" w:beforeAutospacing="0" w:after="120" w:afterAutospacing="0" w:line="264" w:lineRule="auto"/>
        <w:jc w:val="both"/>
        <w:rPr>
          <w:rFonts w:ascii="Arial" w:hAnsi="Arial" w:cs="Arial"/>
          <w:i/>
          <w:iCs/>
          <w:sz w:val="22"/>
          <w:szCs w:val="22"/>
        </w:rPr>
      </w:pPr>
      <w:bookmarkStart w:id="3" w:name="_Hlk178602596"/>
      <w:r w:rsidRPr="00981F75">
        <w:rPr>
          <w:rFonts w:ascii="Arial" w:hAnsi="Arial" w:cs="Arial"/>
          <w:i/>
          <w:iCs/>
          <w:sz w:val="22"/>
          <w:szCs w:val="22"/>
        </w:rPr>
        <w:t xml:space="preserve">„Zadovoljstvo mi je najaviti namjeru Studenca </w:t>
      </w:r>
      <w:r w:rsidR="00A96B8B" w:rsidRPr="00981F75">
        <w:rPr>
          <w:rFonts w:ascii="Arial" w:hAnsi="Arial" w:cs="Arial"/>
          <w:i/>
          <w:iCs/>
          <w:sz w:val="22"/>
          <w:szCs w:val="22"/>
        </w:rPr>
        <w:t xml:space="preserve">da </w:t>
      </w:r>
      <w:r w:rsidR="00C70B03">
        <w:rPr>
          <w:rFonts w:ascii="Arial" w:hAnsi="Arial" w:cs="Arial"/>
          <w:i/>
          <w:iCs/>
          <w:sz w:val="22"/>
          <w:szCs w:val="22"/>
        </w:rPr>
        <w:t xml:space="preserve">ponudi upis svojih dionica putem inicijalne javne ponude </w:t>
      </w:r>
      <w:r w:rsidR="00A96B8B" w:rsidRPr="00981F75">
        <w:rPr>
          <w:rFonts w:ascii="Arial" w:hAnsi="Arial" w:cs="Arial"/>
          <w:i/>
          <w:iCs/>
          <w:sz w:val="22"/>
          <w:szCs w:val="22"/>
        </w:rPr>
        <w:t xml:space="preserve">i uvrsti svoje dionice </w:t>
      </w:r>
      <w:r w:rsidRPr="00981F75">
        <w:rPr>
          <w:rFonts w:ascii="Arial" w:hAnsi="Arial" w:cs="Arial"/>
          <w:i/>
          <w:iCs/>
          <w:sz w:val="22"/>
          <w:szCs w:val="22"/>
        </w:rPr>
        <w:t xml:space="preserve">na </w:t>
      </w:r>
      <w:r w:rsidR="00A96B8B" w:rsidRPr="00981F75">
        <w:rPr>
          <w:rFonts w:ascii="Arial" w:hAnsi="Arial" w:cs="Arial"/>
          <w:i/>
          <w:iCs/>
          <w:sz w:val="22"/>
          <w:szCs w:val="22"/>
        </w:rPr>
        <w:t xml:space="preserve">Zagrebačku </w:t>
      </w:r>
      <w:r w:rsidRPr="00981F75">
        <w:rPr>
          <w:rFonts w:ascii="Arial" w:hAnsi="Arial" w:cs="Arial"/>
          <w:i/>
          <w:iCs/>
          <w:sz w:val="22"/>
          <w:szCs w:val="22"/>
        </w:rPr>
        <w:t xml:space="preserve">i </w:t>
      </w:r>
      <w:r w:rsidR="00A96B8B" w:rsidRPr="00981F75">
        <w:rPr>
          <w:rFonts w:ascii="Arial" w:hAnsi="Arial" w:cs="Arial"/>
          <w:i/>
          <w:iCs/>
          <w:sz w:val="22"/>
          <w:szCs w:val="22"/>
        </w:rPr>
        <w:t xml:space="preserve">Varšavsku </w:t>
      </w:r>
      <w:r w:rsidRPr="00981F75">
        <w:rPr>
          <w:rFonts w:ascii="Arial" w:hAnsi="Arial" w:cs="Arial"/>
          <w:i/>
          <w:iCs/>
          <w:sz w:val="22"/>
          <w:szCs w:val="22"/>
        </w:rPr>
        <w:t xml:space="preserve">burzu. Uvjeren sam da će </w:t>
      </w:r>
      <w:r w:rsidR="006C5781" w:rsidRPr="00981F75">
        <w:rPr>
          <w:rFonts w:ascii="Arial" w:hAnsi="Arial" w:cs="Arial"/>
          <w:i/>
          <w:iCs/>
          <w:sz w:val="22"/>
          <w:szCs w:val="22"/>
        </w:rPr>
        <w:t>dokazani</w:t>
      </w:r>
      <w:r w:rsidRPr="00981F75">
        <w:rPr>
          <w:rFonts w:ascii="Arial" w:hAnsi="Arial" w:cs="Arial"/>
          <w:i/>
          <w:iCs/>
          <w:sz w:val="22"/>
          <w:szCs w:val="22"/>
        </w:rPr>
        <w:t xml:space="preserve"> poslovni model Studenca, </w:t>
      </w:r>
      <w:r w:rsidR="006C5781" w:rsidRPr="00981F75">
        <w:rPr>
          <w:rFonts w:ascii="Arial" w:hAnsi="Arial" w:cs="Arial"/>
          <w:i/>
          <w:iCs/>
          <w:sz w:val="22"/>
          <w:szCs w:val="22"/>
        </w:rPr>
        <w:t xml:space="preserve">kojeg </w:t>
      </w:r>
      <w:r w:rsidRPr="00981F75">
        <w:rPr>
          <w:rFonts w:ascii="Arial" w:hAnsi="Arial" w:cs="Arial"/>
          <w:i/>
          <w:iCs/>
          <w:sz w:val="22"/>
          <w:szCs w:val="22"/>
        </w:rPr>
        <w:t>potvrđuju snažni financijski rezultati sa značajnim rastom prihoda i postignućima u posljednjih nekoliko godina, uspjeti privući interes potencijalni</w:t>
      </w:r>
      <w:r w:rsidR="006C5781" w:rsidRPr="00981F75">
        <w:rPr>
          <w:rFonts w:ascii="Arial" w:hAnsi="Arial" w:cs="Arial"/>
          <w:i/>
          <w:iCs/>
          <w:sz w:val="22"/>
          <w:szCs w:val="22"/>
        </w:rPr>
        <w:t>h</w:t>
      </w:r>
      <w:r w:rsidRPr="00981F75">
        <w:rPr>
          <w:rFonts w:ascii="Arial" w:hAnsi="Arial" w:cs="Arial"/>
          <w:i/>
          <w:iCs/>
          <w:sz w:val="22"/>
          <w:szCs w:val="22"/>
        </w:rPr>
        <w:t xml:space="preserve"> investitora. Vjerujem da će nastavak tog dugogodišnjeg uspjeha dovesti brend do pozicije jednog od vodećih </w:t>
      </w:r>
      <w:r w:rsidR="00A96B8B" w:rsidRPr="00981F75">
        <w:rPr>
          <w:rFonts w:ascii="Arial" w:hAnsi="Arial" w:cs="Arial"/>
          <w:i/>
          <w:iCs/>
          <w:sz w:val="22"/>
          <w:szCs w:val="22"/>
        </w:rPr>
        <w:t xml:space="preserve">tržišnih igrača </w:t>
      </w:r>
      <w:r w:rsidRPr="00981F75">
        <w:rPr>
          <w:rFonts w:ascii="Arial" w:hAnsi="Arial" w:cs="Arial"/>
          <w:i/>
          <w:iCs/>
          <w:sz w:val="22"/>
          <w:szCs w:val="22"/>
        </w:rPr>
        <w:t xml:space="preserve">u segmentu </w:t>
      </w:r>
      <w:r w:rsidR="00D0272C" w:rsidRPr="00981F75">
        <w:rPr>
          <w:rFonts w:ascii="Arial" w:hAnsi="Arial" w:cs="Arial"/>
          <w:i/>
          <w:iCs/>
          <w:sz w:val="22"/>
          <w:szCs w:val="22"/>
        </w:rPr>
        <w:t>'</w:t>
      </w:r>
      <w:r w:rsidRPr="00981F75">
        <w:rPr>
          <w:rFonts w:ascii="Arial" w:hAnsi="Arial" w:cs="Arial"/>
          <w:i/>
          <w:iCs/>
          <w:sz w:val="22"/>
          <w:szCs w:val="22"/>
        </w:rPr>
        <w:t>proximity</w:t>
      </w:r>
      <w:r w:rsidR="00D0272C" w:rsidRPr="00981F75">
        <w:rPr>
          <w:rFonts w:ascii="Arial" w:hAnsi="Arial" w:cs="Arial"/>
          <w:i/>
          <w:iCs/>
          <w:sz w:val="22"/>
          <w:szCs w:val="22"/>
        </w:rPr>
        <w:t>'</w:t>
      </w:r>
      <w:r w:rsidRPr="00981F75">
        <w:rPr>
          <w:rFonts w:ascii="Arial" w:hAnsi="Arial" w:cs="Arial"/>
          <w:i/>
          <w:iCs/>
          <w:sz w:val="22"/>
          <w:szCs w:val="22"/>
        </w:rPr>
        <w:t xml:space="preserve"> formata u regiji.</w:t>
      </w:r>
      <w:r w:rsidR="00A96B8B" w:rsidRPr="00981F75">
        <w:rPr>
          <w:rFonts w:ascii="Arial" w:hAnsi="Arial" w:cs="Arial"/>
          <w:i/>
          <w:iCs/>
          <w:sz w:val="22"/>
          <w:szCs w:val="22"/>
        </w:rPr>
        <w:t xml:space="preserve"> </w:t>
      </w:r>
    </w:p>
    <w:p w14:paraId="307B812F" w14:textId="12D793D3" w:rsidR="00FC0284" w:rsidRPr="00981F75" w:rsidRDefault="000A207E" w:rsidP="00FC0284">
      <w:pPr>
        <w:pStyle w:val="NormalWeb"/>
        <w:spacing w:before="0" w:beforeAutospacing="0" w:after="120" w:afterAutospacing="0" w:line="264" w:lineRule="auto"/>
        <w:jc w:val="both"/>
        <w:rPr>
          <w:rFonts w:ascii="Arial" w:hAnsi="Arial" w:cs="Arial"/>
          <w:i/>
          <w:iCs/>
          <w:sz w:val="22"/>
          <w:szCs w:val="22"/>
        </w:rPr>
      </w:pPr>
      <w:r w:rsidRPr="00981F75">
        <w:rPr>
          <w:rFonts w:ascii="Arial" w:hAnsi="Arial" w:cs="Arial"/>
          <w:i/>
          <w:iCs/>
          <w:sz w:val="22"/>
          <w:szCs w:val="22"/>
        </w:rPr>
        <w:t xml:space="preserve">Nakon preuzimanja od strane Enterprise Investorsa 2018. godine, Studenac je više nego utrostručio broj trgovina u svojoj mreži, </w:t>
      </w:r>
      <w:r w:rsidR="00A96B8B" w:rsidRPr="00981F75">
        <w:rPr>
          <w:rFonts w:ascii="Arial" w:hAnsi="Arial" w:cs="Arial"/>
          <w:i/>
          <w:iCs/>
          <w:sz w:val="22"/>
          <w:szCs w:val="22"/>
        </w:rPr>
        <w:t>pa prema podacima s kraja rujna 2024., maloprodajnu mrežu Studenca čini više od 1</w:t>
      </w:r>
      <w:r w:rsidR="007871B4">
        <w:rPr>
          <w:rFonts w:ascii="Arial" w:hAnsi="Arial" w:cs="Arial"/>
          <w:i/>
          <w:iCs/>
          <w:sz w:val="22"/>
          <w:szCs w:val="22"/>
        </w:rPr>
        <w:t>.</w:t>
      </w:r>
      <w:r w:rsidR="00A96B8B" w:rsidRPr="00981F75">
        <w:rPr>
          <w:rFonts w:ascii="Arial" w:hAnsi="Arial" w:cs="Arial"/>
          <w:i/>
          <w:iCs/>
          <w:sz w:val="22"/>
          <w:szCs w:val="22"/>
        </w:rPr>
        <w:t>400 trgovina</w:t>
      </w:r>
      <w:r w:rsidRPr="00981F75">
        <w:rPr>
          <w:rFonts w:ascii="Arial" w:hAnsi="Arial" w:cs="Arial"/>
          <w:i/>
          <w:iCs/>
          <w:sz w:val="22"/>
          <w:szCs w:val="22"/>
        </w:rPr>
        <w:t xml:space="preserve">. </w:t>
      </w:r>
      <w:r w:rsidR="00FC0284" w:rsidRPr="00981F75">
        <w:rPr>
          <w:rFonts w:ascii="Arial" w:hAnsi="Arial" w:cs="Arial"/>
          <w:i/>
          <w:iCs/>
          <w:sz w:val="22"/>
          <w:szCs w:val="22"/>
        </w:rPr>
        <w:t xml:space="preserve">Od uspješnog regionalnog trgovca u Dalmaciji proširili smo se diljem Hrvatske i postali </w:t>
      </w:r>
      <w:r w:rsidRPr="00981F75">
        <w:rPr>
          <w:rFonts w:ascii="Arial" w:hAnsi="Arial" w:cs="Arial"/>
          <w:i/>
          <w:iCs/>
          <w:sz w:val="22"/>
          <w:szCs w:val="22"/>
        </w:rPr>
        <w:t xml:space="preserve">najveći maloprodajni lanac u zemlji po broju trgovina. Ove godine napravili smo prvi korak u međunarodnoj ekspanziji ulaskom na susjedno tržište Slovenije. Ključni pokretač </w:t>
      </w:r>
      <w:r w:rsidR="0014103E" w:rsidRPr="00981F75">
        <w:rPr>
          <w:rFonts w:ascii="Arial" w:hAnsi="Arial" w:cs="Arial"/>
          <w:i/>
          <w:iCs/>
          <w:sz w:val="22"/>
          <w:szCs w:val="22"/>
        </w:rPr>
        <w:t>takvog</w:t>
      </w:r>
      <w:r w:rsidRPr="00981F75">
        <w:rPr>
          <w:rFonts w:ascii="Arial" w:hAnsi="Arial" w:cs="Arial"/>
          <w:i/>
          <w:iCs/>
          <w:sz w:val="22"/>
          <w:szCs w:val="22"/>
        </w:rPr>
        <w:t xml:space="preserve"> rasta bi</w:t>
      </w:r>
      <w:r w:rsidR="0014103E" w:rsidRPr="00981F75">
        <w:rPr>
          <w:rFonts w:ascii="Arial" w:hAnsi="Arial" w:cs="Arial"/>
          <w:i/>
          <w:iCs/>
          <w:sz w:val="22"/>
          <w:szCs w:val="22"/>
        </w:rPr>
        <w:t>la</w:t>
      </w:r>
      <w:r w:rsidRPr="00981F75">
        <w:rPr>
          <w:rFonts w:ascii="Arial" w:hAnsi="Arial" w:cs="Arial"/>
          <w:i/>
          <w:iCs/>
          <w:sz w:val="22"/>
          <w:szCs w:val="22"/>
        </w:rPr>
        <w:t xml:space="preserve"> je naš</w:t>
      </w:r>
      <w:r w:rsidR="0014103E" w:rsidRPr="00981F75">
        <w:rPr>
          <w:rFonts w:ascii="Arial" w:hAnsi="Arial" w:cs="Arial"/>
          <w:i/>
          <w:iCs/>
          <w:sz w:val="22"/>
          <w:szCs w:val="22"/>
        </w:rPr>
        <w:t xml:space="preserve">a usmjerenost </w:t>
      </w:r>
      <w:r w:rsidRPr="00981F75">
        <w:rPr>
          <w:rFonts w:ascii="Arial" w:hAnsi="Arial" w:cs="Arial"/>
          <w:i/>
          <w:iCs/>
          <w:sz w:val="22"/>
          <w:szCs w:val="22"/>
        </w:rPr>
        <w:t>na format trgovin</w:t>
      </w:r>
      <w:r w:rsidR="00FC0284" w:rsidRPr="00981F75">
        <w:rPr>
          <w:rFonts w:ascii="Arial" w:hAnsi="Arial" w:cs="Arial"/>
          <w:i/>
          <w:iCs/>
          <w:sz w:val="22"/>
          <w:szCs w:val="22"/>
        </w:rPr>
        <w:t>a</w:t>
      </w:r>
      <w:r w:rsidR="0014103E" w:rsidRPr="00981F75">
        <w:rPr>
          <w:rFonts w:ascii="Arial" w:hAnsi="Arial" w:cs="Arial"/>
          <w:i/>
          <w:iCs/>
          <w:sz w:val="22"/>
          <w:szCs w:val="22"/>
        </w:rPr>
        <w:t xml:space="preserve"> </w:t>
      </w:r>
      <w:r w:rsidR="00FC0284" w:rsidRPr="00981F75">
        <w:rPr>
          <w:rFonts w:ascii="Arial" w:hAnsi="Arial" w:cs="Arial"/>
          <w:i/>
          <w:iCs/>
          <w:sz w:val="22"/>
          <w:szCs w:val="22"/>
        </w:rPr>
        <w:t>koji nam omogućuje da budemo bliži svojim kupcima te brzo i praktično ispunimo njihove svakodnevne potrebe za</w:t>
      </w:r>
      <w:r w:rsidR="00EC04C3">
        <w:rPr>
          <w:rFonts w:ascii="Arial" w:hAnsi="Arial" w:cs="Arial"/>
          <w:i/>
          <w:iCs/>
          <w:sz w:val="22"/>
          <w:szCs w:val="22"/>
        </w:rPr>
        <w:t xml:space="preserve"> kupnjom.</w:t>
      </w:r>
    </w:p>
    <w:p w14:paraId="25B8AD25" w14:textId="459EEFE1" w:rsidR="0014103E" w:rsidRPr="00981F75" w:rsidRDefault="0014103E" w:rsidP="00A510FA">
      <w:pPr>
        <w:pStyle w:val="NormalWeb"/>
        <w:spacing w:before="0" w:beforeAutospacing="0" w:after="120" w:afterAutospacing="0" w:line="264" w:lineRule="auto"/>
        <w:jc w:val="both"/>
        <w:rPr>
          <w:rFonts w:ascii="Arial" w:hAnsi="Arial" w:cs="Arial"/>
          <w:i/>
          <w:iCs/>
          <w:sz w:val="22"/>
          <w:szCs w:val="22"/>
        </w:rPr>
      </w:pPr>
      <w:r w:rsidRPr="00981F75">
        <w:rPr>
          <w:rFonts w:ascii="Arial" w:hAnsi="Arial" w:cs="Arial"/>
          <w:i/>
          <w:iCs/>
          <w:sz w:val="22"/>
          <w:szCs w:val="22"/>
        </w:rPr>
        <w:t>Vjerujemo da će inicijalna javna ponuda (</w:t>
      </w:r>
      <w:proofErr w:type="spellStart"/>
      <w:r w:rsidR="00C70B03">
        <w:rPr>
          <w:rFonts w:ascii="Arial" w:hAnsi="Arial" w:cs="Arial"/>
          <w:i/>
          <w:iCs/>
          <w:sz w:val="22"/>
          <w:szCs w:val="22"/>
        </w:rPr>
        <w:t>Initial</w:t>
      </w:r>
      <w:proofErr w:type="spellEnd"/>
      <w:r w:rsidR="00C70B03">
        <w:rPr>
          <w:rFonts w:ascii="Arial" w:hAnsi="Arial" w:cs="Arial"/>
          <w:i/>
          <w:iCs/>
          <w:sz w:val="22"/>
          <w:szCs w:val="22"/>
        </w:rPr>
        <w:t xml:space="preserve"> </w:t>
      </w:r>
      <w:proofErr w:type="spellStart"/>
      <w:r w:rsidR="00C70B03">
        <w:rPr>
          <w:rFonts w:ascii="Arial" w:hAnsi="Arial" w:cs="Arial"/>
          <w:i/>
          <w:iCs/>
          <w:sz w:val="22"/>
          <w:szCs w:val="22"/>
        </w:rPr>
        <w:t>Public</w:t>
      </w:r>
      <w:proofErr w:type="spellEnd"/>
      <w:r w:rsidR="00C70B03">
        <w:rPr>
          <w:rFonts w:ascii="Arial" w:hAnsi="Arial" w:cs="Arial"/>
          <w:i/>
          <w:iCs/>
          <w:sz w:val="22"/>
          <w:szCs w:val="22"/>
        </w:rPr>
        <w:t xml:space="preserve"> </w:t>
      </w:r>
      <w:proofErr w:type="spellStart"/>
      <w:r w:rsidR="00C70B03">
        <w:rPr>
          <w:rFonts w:ascii="Arial" w:hAnsi="Arial" w:cs="Arial"/>
          <w:i/>
          <w:iCs/>
          <w:sz w:val="22"/>
          <w:szCs w:val="22"/>
        </w:rPr>
        <w:t>Offering</w:t>
      </w:r>
      <w:proofErr w:type="spellEnd"/>
      <w:r w:rsidR="00C70B03">
        <w:rPr>
          <w:rFonts w:ascii="Arial" w:hAnsi="Arial" w:cs="Arial"/>
          <w:i/>
          <w:iCs/>
          <w:sz w:val="22"/>
          <w:szCs w:val="22"/>
        </w:rPr>
        <w:t xml:space="preserve"> - </w:t>
      </w:r>
      <w:r w:rsidRPr="00981F75">
        <w:rPr>
          <w:rFonts w:ascii="Arial" w:hAnsi="Arial" w:cs="Arial"/>
          <w:i/>
          <w:iCs/>
          <w:sz w:val="22"/>
          <w:szCs w:val="22"/>
        </w:rPr>
        <w:t xml:space="preserve">IPO) te zatim uvrštenje na </w:t>
      </w:r>
      <w:r w:rsidR="00FC0284" w:rsidRPr="00981F75">
        <w:rPr>
          <w:rFonts w:ascii="Arial" w:hAnsi="Arial" w:cs="Arial"/>
          <w:i/>
          <w:iCs/>
          <w:sz w:val="22"/>
          <w:szCs w:val="22"/>
        </w:rPr>
        <w:t xml:space="preserve">Zagrebačku i </w:t>
      </w:r>
      <w:r w:rsidRPr="00981F75">
        <w:rPr>
          <w:rFonts w:ascii="Arial" w:hAnsi="Arial" w:cs="Arial"/>
          <w:i/>
          <w:iCs/>
          <w:sz w:val="22"/>
          <w:szCs w:val="22"/>
        </w:rPr>
        <w:t>Varšavsku burzu omogućiti daljnji rast jačanje</w:t>
      </w:r>
      <w:r w:rsidR="00FC0284" w:rsidRPr="00981F75">
        <w:rPr>
          <w:rFonts w:ascii="Arial" w:hAnsi="Arial" w:cs="Arial"/>
          <w:i/>
          <w:iCs/>
          <w:sz w:val="22"/>
          <w:szCs w:val="22"/>
        </w:rPr>
        <w:t>m</w:t>
      </w:r>
      <w:r w:rsidRPr="00981F75">
        <w:rPr>
          <w:rFonts w:ascii="Arial" w:hAnsi="Arial" w:cs="Arial"/>
          <w:i/>
          <w:iCs/>
          <w:sz w:val="22"/>
          <w:szCs w:val="22"/>
        </w:rPr>
        <w:t xml:space="preserve"> profila </w:t>
      </w:r>
      <w:r w:rsidR="00173E2B" w:rsidRPr="00981F75">
        <w:rPr>
          <w:rFonts w:ascii="Arial" w:hAnsi="Arial" w:cs="Arial"/>
          <w:i/>
          <w:iCs/>
          <w:sz w:val="22"/>
          <w:szCs w:val="22"/>
        </w:rPr>
        <w:t>Društva</w:t>
      </w:r>
      <w:r w:rsidRPr="00981F75">
        <w:rPr>
          <w:rFonts w:ascii="Arial" w:hAnsi="Arial" w:cs="Arial"/>
          <w:i/>
          <w:iCs/>
          <w:sz w:val="22"/>
          <w:szCs w:val="22"/>
        </w:rPr>
        <w:t>, prepoznatljivosti brenda i kredibilitet</w:t>
      </w:r>
      <w:r w:rsidR="00FC0284" w:rsidRPr="00981F75">
        <w:rPr>
          <w:rFonts w:ascii="Arial" w:hAnsi="Arial" w:cs="Arial"/>
          <w:i/>
          <w:iCs/>
          <w:sz w:val="22"/>
          <w:szCs w:val="22"/>
        </w:rPr>
        <w:t>a</w:t>
      </w:r>
      <w:r w:rsidRPr="00981F75">
        <w:rPr>
          <w:rFonts w:ascii="Arial" w:hAnsi="Arial" w:cs="Arial"/>
          <w:i/>
          <w:iCs/>
          <w:sz w:val="22"/>
          <w:szCs w:val="22"/>
        </w:rPr>
        <w:t xml:space="preserve">. </w:t>
      </w:r>
      <w:r w:rsidR="00FC0284" w:rsidRPr="00981F75">
        <w:rPr>
          <w:rFonts w:ascii="Arial" w:hAnsi="Arial" w:cs="Arial"/>
          <w:i/>
          <w:iCs/>
          <w:sz w:val="22"/>
          <w:szCs w:val="22"/>
        </w:rPr>
        <w:t>Studenac namjerava nastaviti svoj organski rast otvaranjem novih trgovina te i dalje provoditi svoju uspješnu strategiju konsolidacije tržišta preuzimanjem drugih tržišnih igrača u Hrvatskoj i Sloveniji</w:t>
      </w:r>
      <w:r w:rsidR="00A510FA" w:rsidRPr="00981F75">
        <w:rPr>
          <w:rFonts w:ascii="Arial" w:hAnsi="Arial" w:cs="Arial"/>
          <w:i/>
          <w:iCs/>
          <w:sz w:val="22"/>
          <w:szCs w:val="22"/>
        </w:rPr>
        <w:t xml:space="preserve"> s ciljem da </w:t>
      </w:r>
      <w:r w:rsidR="00FC0284" w:rsidRPr="00981F75">
        <w:rPr>
          <w:rFonts w:ascii="Arial" w:hAnsi="Arial" w:cs="Arial"/>
          <w:i/>
          <w:iCs/>
          <w:sz w:val="22"/>
          <w:szCs w:val="22"/>
        </w:rPr>
        <w:t>do kraja 2028. u svojoj mreži ima 3400 trgovina.</w:t>
      </w:r>
      <w:r w:rsidR="00A510FA" w:rsidRPr="00981F75">
        <w:rPr>
          <w:rFonts w:ascii="Arial" w:hAnsi="Arial" w:cs="Arial"/>
          <w:i/>
          <w:iCs/>
          <w:sz w:val="22"/>
          <w:szCs w:val="22"/>
        </w:rPr>
        <w:t xml:space="preserve"> </w:t>
      </w:r>
      <w:r w:rsidR="00BB762A">
        <w:rPr>
          <w:rFonts w:ascii="Arial" w:hAnsi="Arial" w:cs="Arial"/>
          <w:i/>
          <w:iCs/>
          <w:sz w:val="22"/>
          <w:szCs w:val="22"/>
        </w:rPr>
        <w:t xml:space="preserve">Sredstva prikupljena izdavanjem </w:t>
      </w:r>
      <w:r w:rsidRPr="00981F75">
        <w:rPr>
          <w:rFonts w:ascii="Arial" w:hAnsi="Arial" w:cs="Arial"/>
          <w:i/>
          <w:iCs/>
          <w:sz w:val="22"/>
          <w:szCs w:val="22"/>
        </w:rPr>
        <w:t xml:space="preserve">novih dionica </w:t>
      </w:r>
      <w:r w:rsidR="00A510FA" w:rsidRPr="00981F75">
        <w:rPr>
          <w:rFonts w:ascii="Arial" w:hAnsi="Arial" w:cs="Arial"/>
          <w:i/>
          <w:iCs/>
          <w:sz w:val="22"/>
          <w:szCs w:val="22"/>
        </w:rPr>
        <w:t xml:space="preserve">namjeravamo koristiti </w:t>
      </w:r>
      <w:r w:rsidRPr="00981F75">
        <w:rPr>
          <w:rFonts w:ascii="Arial" w:hAnsi="Arial" w:cs="Arial"/>
          <w:i/>
          <w:iCs/>
          <w:sz w:val="22"/>
          <w:szCs w:val="22"/>
        </w:rPr>
        <w:t xml:space="preserve">za </w:t>
      </w:r>
      <w:r w:rsidR="00EC04C3">
        <w:rPr>
          <w:rFonts w:ascii="Arial" w:hAnsi="Arial" w:cs="Arial"/>
          <w:i/>
          <w:iCs/>
          <w:sz w:val="22"/>
          <w:szCs w:val="22"/>
        </w:rPr>
        <w:t xml:space="preserve">nastavak </w:t>
      </w:r>
      <w:r w:rsidRPr="00981F75">
        <w:rPr>
          <w:rFonts w:ascii="Arial" w:hAnsi="Arial" w:cs="Arial"/>
          <w:i/>
          <w:iCs/>
          <w:sz w:val="22"/>
          <w:szCs w:val="22"/>
        </w:rPr>
        <w:t>financiranj</w:t>
      </w:r>
      <w:r w:rsidR="00EC04C3">
        <w:rPr>
          <w:rFonts w:ascii="Arial" w:hAnsi="Arial" w:cs="Arial"/>
          <w:i/>
          <w:iCs/>
          <w:sz w:val="22"/>
          <w:szCs w:val="22"/>
        </w:rPr>
        <w:t>a</w:t>
      </w:r>
      <w:r w:rsidRPr="00981F75">
        <w:rPr>
          <w:rFonts w:ascii="Arial" w:hAnsi="Arial" w:cs="Arial"/>
          <w:i/>
          <w:iCs/>
          <w:sz w:val="22"/>
          <w:szCs w:val="22"/>
        </w:rPr>
        <w:t xml:space="preserve"> takvog dinamičnog rasta i jačanje financijskog profila </w:t>
      </w:r>
      <w:r w:rsidR="00173E2B" w:rsidRPr="00981F75">
        <w:rPr>
          <w:rFonts w:ascii="Arial" w:hAnsi="Arial" w:cs="Arial"/>
          <w:i/>
          <w:iCs/>
          <w:sz w:val="22"/>
          <w:szCs w:val="22"/>
        </w:rPr>
        <w:t>Društva</w:t>
      </w:r>
      <w:r w:rsidRPr="00981F75">
        <w:rPr>
          <w:rFonts w:ascii="Arial" w:hAnsi="Arial" w:cs="Arial"/>
          <w:i/>
          <w:iCs/>
          <w:sz w:val="22"/>
          <w:szCs w:val="22"/>
        </w:rPr>
        <w:t xml:space="preserve">. Cilj menadžmenta </w:t>
      </w:r>
      <w:r w:rsidRPr="00981F75">
        <w:rPr>
          <w:rFonts w:ascii="Arial" w:hAnsi="Arial" w:cs="Arial"/>
          <w:i/>
          <w:iCs/>
          <w:sz w:val="22"/>
          <w:szCs w:val="22"/>
        </w:rPr>
        <w:lastRenderedPageBreak/>
        <w:t>je povećati prihod Grupe za približno 30 posto (na pro-forma osnovi</w:t>
      </w:r>
      <w:r w:rsidRPr="00981F75">
        <w:rPr>
          <w:rStyle w:val="FootnoteReference"/>
          <w:rFonts w:ascii="Arial" w:hAnsi="Arial" w:cs="Arial"/>
          <w:i/>
          <w:iCs/>
          <w:sz w:val="22"/>
          <w:szCs w:val="22"/>
        </w:rPr>
        <w:footnoteReference w:id="2"/>
      </w:r>
      <w:r w:rsidRPr="00981F75">
        <w:rPr>
          <w:rFonts w:ascii="Arial" w:hAnsi="Arial" w:cs="Arial"/>
          <w:i/>
          <w:iCs/>
          <w:sz w:val="22"/>
          <w:szCs w:val="22"/>
        </w:rPr>
        <w:t xml:space="preserve">) u 2024. u odnosu na 2023. godinu </w:t>
      </w:r>
      <w:r w:rsidR="00A510FA" w:rsidRPr="00981F75">
        <w:rPr>
          <w:rFonts w:ascii="Arial" w:hAnsi="Arial" w:cs="Arial"/>
          <w:i/>
          <w:iCs/>
          <w:sz w:val="22"/>
          <w:szCs w:val="22"/>
        </w:rPr>
        <w:t>s</w:t>
      </w:r>
      <w:r w:rsidRPr="00981F75">
        <w:rPr>
          <w:rFonts w:ascii="Arial" w:hAnsi="Arial" w:cs="Arial"/>
          <w:i/>
          <w:iCs/>
          <w:sz w:val="22"/>
          <w:szCs w:val="22"/>
        </w:rPr>
        <w:t xml:space="preserve"> prosječn</w:t>
      </w:r>
      <w:r w:rsidR="00A510FA" w:rsidRPr="00981F75">
        <w:rPr>
          <w:rFonts w:ascii="Arial" w:hAnsi="Arial" w:cs="Arial"/>
          <w:i/>
          <w:iCs/>
          <w:sz w:val="22"/>
          <w:szCs w:val="22"/>
        </w:rPr>
        <w:t>om</w:t>
      </w:r>
      <w:r w:rsidRPr="00981F75">
        <w:rPr>
          <w:rFonts w:ascii="Arial" w:hAnsi="Arial" w:cs="Arial"/>
          <w:i/>
          <w:iCs/>
          <w:sz w:val="22"/>
          <w:szCs w:val="22"/>
        </w:rPr>
        <w:t xml:space="preserve"> godišnj</w:t>
      </w:r>
      <w:r w:rsidR="00A510FA" w:rsidRPr="00981F75">
        <w:rPr>
          <w:rFonts w:ascii="Arial" w:hAnsi="Arial" w:cs="Arial"/>
          <w:i/>
          <w:iCs/>
          <w:sz w:val="22"/>
          <w:szCs w:val="22"/>
        </w:rPr>
        <w:t>om</w:t>
      </w:r>
      <w:r w:rsidRPr="00981F75">
        <w:rPr>
          <w:rFonts w:ascii="Arial" w:hAnsi="Arial" w:cs="Arial"/>
          <w:i/>
          <w:iCs/>
          <w:sz w:val="22"/>
          <w:szCs w:val="22"/>
        </w:rPr>
        <w:t xml:space="preserve"> stop</w:t>
      </w:r>
      <w:r w:rsidR="00A510FA" w:rsidRPr="00981F75">
        <w:rPr>
          <w:rFonts w:ascii="Arial" w:hAnsi="Arial" w:cs="Arial"/>
          <w:i/>
          <w:iCs/>
          <w:sz w:val="22"/>
          <w:szCs w:val="22"/>
        </w:rPr>
        <w:t>om</w:t>
      </w:r>
      <w:r w:rsidRPr="00981F75">
        <w:rPr>
          <w:rFonts w:ascii="Arial" w:hAnsi="Arial" w:cs="Arial"/>
          <w:i/>
          <w:iCs/>
          <w:sz w:val="22"/>
          <w:szCs w:val="22"/>
        </w:rPr>
        <w:t xml:space="preserve"> rasta od 25 do 30 posto u srednjoročnom razdoblju.</w:t>
      </w:r>
    </w:p>
    <w:p w14:paraId="2C05583E" w14:textId="4C4E4CFD" w:rsidR="0014103E" w:rsidRPr="00981F75" w:rsidRDefault="002A0FF7" w:rsidP="000A207E">
      <w:pPr>
        <w:pStyle w:val="NormalWeb"/>
        <w:spacing w:before="0" w:beforeAutospacing="0" w:after="120" w:afterAutospacing="0" w:line="264" w:lineRule="auto"/>
        <w:jc w:val="both"/>
        <w:rPr>
          <w:rFonts w:ascii="Arial" w:hAnsi="Arial" w:cs="Arial"/>
          <w:i/>
          <w:iCs/>
          <w:sz w:val="22"/>
          <w:szCs w:val="22"/>
        </w:rPr>
      </w:pPr>
      <w:r>
        <w:rPr>
          <w:rFonts w:ascii="Arial" w:hAnsi="Arial" w:cs="Arial"/>
          <w:i/>
          <w:iCs/>
          <w:sz w:val="22"/>
          <w:szCs w:val="22"/>
        </w:rPr>
        <w:t>Hrvatski, p</w:t>
      </w:r>
      <w:r w:rsidR="0014103E" w:rsidRPr="00981F75">
        <w:rPr>
          <w:rFonts w:ascii="Arial" w:hAnsi="Arial" w:cs="Arial"/>
          <w:i/>
          <w:iCs/>
          <w:sz w:val="22"/>
          <w:szCs w:val="22"/>
        </w:rPr>
        <w:t>oljski i međunarodni investitori dobit će priliku ulagati u jednu od najbrže rastućih kompanija u Hrvatskoj prema prihodima, a koja posluje na atraktivnom tržištu</w:t>
      </w:r>
      <w:r w:rsidR="00BB762A">
        <w:rPr>
          <w:rFonts w:ascii="Arial" w:hAnsi="Arial" w:cs="Arial"/>
          <w:i/>
          <w:iCs/>
          <w:sz w:val="22"/>
          <w:szCs w:val="22"/>
        </w:rPr>
        <w:t xml:space="preserve"> te nudi </w:t>
      </w:r>
      <w:r w:rsidR="0014103E" w:rsidRPr="00981F75">
        <w:rPr>
          <w:rFonts w:ascii="Arial" w:hAnsi="Arial" w:cs="Arial"/>
          <w:i/>
          <w:iCs/>
          <w:sz w:val="22"/>
          <w:szCs w:val="22"/>
        </w:rPr>
        <w:t xml:space="preserve">daljnji dinamičan rast volumena poslovanja </w:t>
      </w:r>
      <w:r w:rsidR="00BB762A">
        <w:rPr>
          <w:rFonts w:ascii="Arial" w:hAnsi="Arial" w:cs="Arial"/>
          <w:i/>
          <w:iCs/>
          <w:sz w:val="22"/>
          <w:szCs w:val="22"/>
        </w:rPr>
        <w:t xml:space="preserve">kao </w:t>
      </w:r>
      <w:r w:rsidR="0014103E" w:rsidRPr="00981F75">
        <w:rPr>
          <w:rFonts w:ascii="Arial" w:hAnsi="Arial" w:cs="Arial"/>
          <w:i/>
          <w:iCs/>
          <w:sz w:val="22"/>
          <w:szCs w:val="22"/>
        </w:rPr>
        <w:t xml:space="preserve">i </w:t>
      </w:r>
      <w:r w:rsidR="00BB762A">
        <w:rPr>
          <w:rFonts w:ascii="Arial" w:hAnsi="Arial" w:cs="Arial"/>
          <w:i/>
          <w:iCs/>
          <w:sz w:val="22"/>
          <w:szCs w:val="22"/>
        </w:rPr>
        <w:t xml:space="preserve">atraktivne </w:t>
      </w:r>
      <w:r w:rsidR="0014103E" w:rsidRPr="00981F75">
        <w:rPr>
          <w:rFonts w:ascii="Arial" w:hAnsi="Arial" w:cs="Arial"/>
          <w:i/>
          <w:iCs/>
          <w:sz w:val="22"/>
          <w:szCs w:val="22"/>
        </w:rPr>
        <w:t>razine profitabilnosti.”</w:t>
      </w:r>
    </w:p>
    <w:bookmarkEnd w:id="3"/>
    <w:bookmarkEnd w:id="2"/>
    <w:p w14:paraId="50CACFDF" w14:textId="77777777" w:rsidR="00AE733D" w:rsidRPr="00981F75" w:rsidRDefault="00AE733D" w:rsidP="00C47B26">
      <w:pPr>
        <w:pStyle w:val="NormalWeb"/>
        <w:spacing w:before="0" w:beforeAutospacing="0" w:after="120" w:afterAutospacing="0" w:line="264" w:lineRule="auto"/>
        <w:jc w:val="both"/>
        <w:rPr>
          <w:rFonts w:ascii="Arial" w:hAnsi="Arial" w:cs="Arial"/>
          <w:sz w:val="22"/>
          <w:szCs w:val="22"/>
        </w:rPr>
      </w:pPr>
    </w:p>
    <w:p w14:paraId="0F9586EA" w14:textId="0E40D260" w:rsidR="00A67DC4" w:rsidRPr="00981F75" w:rsidRDefault="005512BF" w:rsidP="00A67DC4">
      <w:pPr>
        <w:pStyle w:val="NormalWeb"/>
        <w:spacing w:before="0" w:beforeAutospacing="0" w:after="120" w:afterAutospacing="0" w:line="264" w:lineRule="auto"/>
        <w:jc w:val="both"/>
        <w:rPr>
          <w:rFonts w:ascii="Arial" w:hAnsi="Arial" w:cs="Arial"/>
          <w:b/>
          <w:bCs/>
          <w:sz w:val="22"/>
          <w:szCs w:val="22"/>
        </w:rPr>
      </w:pPr>
      <w:r w:rsidRPr="00981F75">
        <w:rPr>
          <w:rFonts w:ascii="Arial" w:hAnsi="Arial" w:cs="Arial"/>
          <w:b/>
          <w:bCs/>
          <w:sz w:val="22"/>
          <w:szCs w:val="22"/>
        </w:rPr>
        <w:t>Ključn</w:t>
      </w:r>
      <w:r w:rsidR="00F56B12">
        <w:rPr>
          <w:rFonts w:ascii="Arial" w:hAnsi="Arial" w:cs="Arial"/>
          <w:b/>
          <w:bCs/>
          <w:sz w:val="22"/>
          <w:szCs w:val="22"/>
        </w:rPr>
        <w:t>e</w:t>
      </w:r>
      <w:r w:rsidRPr="00981F75">
        <w:rPr>
          <w:rFonts w:ascii="Arial" w:hAnsi="Arial" w:cs="Arial"/>
          <w:b/>
          <w:bCs/>
          <w:sz w:val="22"/>
          <w:szCs w:val="22"/>
        </w:rPr>
        <w:t xml:space="preserve"> </w:t>
      </w:r>
      <w:r w:rsidR="00F56B12">
        <w:rPr>
          <w:rFonts w:ascii="Arial" w:hAnsi="Arial" w:cs="Arial"/>
          <w:b/>
          <w:bCs/>
          <w:sz w:val="22"/>
          <w:szCs w:val="22"/>
        </w:rPr>
        <w:t>informacije o</w:t>
      </w:r>
      <w:r w:rsidRPr="00981F75">
        <w:rPr>
          <w:rFonts w:ascii="Arial" w:hAnsi="Arial" w:cs="Arial"/>
          <w:b/>
          <w:bCs/>
          <w:sz w:val="22"/>
          <w:szCs w:val="22"/>
        </w:rPr>
        <w:t xml:space="preserve"> </w:t>
      </w:r>
      <w:r w:rsidR="00F56B12">
        <w:rPr>
          <w:rFonts w:ascii="Arial" w:hAnsi="Arial" w:cs="Arial"/>
          <w:b/>
          <w:bCs/>
          <w:sz w:val="22"/>
          <w:szCs w:val="22"/>
        </w:rPr>
        <w:t>P</w:t>
      </w:r>
      <w:r w:rsidRPr="00981F75">
        <w:rPr>
          <w:rFonts w:ascii="Arial" w:hAnsi="Arial" w:cs="Arial"/>
          <w:b/>
          <w:bCs/>
          <w:sz w:val="22"/>
          <w:szCs w:val="22"/>
        </w:rPr>
        <w:t>onud</w:t>
      </w:r>
      <w:r w:rsidR="00F56B12">
        <w:rPr>
          <w:rFonts w:ascii="Arial" w:hAnsi="Arial" w:cs="Arial"/>
          <w:b/>
          <w:bCs/>
          <w:sz w:val="22"/>
          <w:szCs w:val="22"/>
        </w:rPr>
        <w:t>i</w:t>
      </w:r>
      <w:r w:rsidRPr="00981F75">
        <w:rPr>
          <w:rFonts w:ascii="Arial" w:hAnsi="Arial" w:cs="Arial"/>
          <w:b/>
          <w:bCs/>
          <w:sz w:val="22"/>
          <w:szCs w:val="22"/>
        </w:rPr>
        <w:t>:</w:t>
      </w:r>
    </w:p>
    <w:p w14:paraId="64D63935" w14:textId="12D9A004" w:rsidR="00036A0F" w:rsidRPr="00981F75" w:rsidRDefault="005512BF" w:rsidP="00B15BA6">
      <w:pPr>
        <w:pStyle w:val="NormalWeb"/>
        <w:numPr>
          <w:ilvl w:val="0"/>
          <w:numId w:val="4"/>
        </w:numPr>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Očekuje se da će </w:t>
      </w:r>
      <w:r w:rsidR="00F56B12">
        <w:rPr>
          <w:rFonts w:ascii="Arial" w:hAnsi="Arial" w:cs="Arial"/>
          <w:sz w:val="22"/>
          <w:szCs w:val="22"/>
        </w:rPr>
        <w:t>P</w:t>
      </w:r>
      <w:r w:rsidRPr="00981F75">
        <w:rPr>
          <w:rFonts w:ascii="Arial" w:hAnsi="Arial" w:cs="Arial"/>
          <w:sz w:val="22"/>
          <w:szCs w:val="22"/>
        </w:rPr>
        <w:t xml:space="preserve">onuda </w:t>
      </w:r>
      <w:r w:rsidR="00A510FA" w:rsidRPr="00981F75">
        <w:rPr>
          <w:rFonts w:ascii="Arial" w:hAnsi="Arial" w:cs="Arial"/>
          <w:sz w:val="22"/>
          <w:szCs w:val="22"/>
        </w:rPr>
        <w:t>uključivati</w:t>
      </w:r>
      <w:r w:rsidRPr="00981F75">
        <w:rPr>
          <w:rFonts w:ascii="Arial" w:hAnsi="Arial" w:cs="Arial"/>
          <w:sz w:val="22"/>
          <w:szCs w:val="22"/>
        </w:rPr>
        <w:t xml:space="preserve"> izdavanje novih dionica od strane </w:t>
      </w:r>
      <w:r w:rsidR="003852B4" w:rsidRPr="00981F75">
        <w:rPr>
          <w:rFonts w:ascii="Arial" w:hAnsi="Arial" w:cs="Arial"/>
          <w:sz w:val="22"/>
          <w:szCs w:val="22"/>
        </w:rPr>
        <w:t>Društva</w:t>
      </w:r>
      <w:r w:rsidRPr="00981F75">
        <w:rPr>
          <w:rFonts w:ascii="Arial" w:hAnsi="Arial" w:cs="Arial"/>
          <w:sz w:val="22"/>
          <w:szCs w:val="22"/>
        </w:rPr>
        <w:t xml:space="preserve"> i prodaju postojećih dionica od strane </w:t>
      </w:r>
      <w:r w:rsidR="00F56B12">
        <w:rPr>
          <w:rFonts w:ascii="Arial" w:hAnsi="Arial" w:cs="Arial"/>
          <w:sz w:val="22"/>
          <w:szCs w:val="22"/>
        </w:rPr>
        <w:t>pojedinih</w:t>
      </w:r>
      <w:r w:rsidR="00F56B12" w:rsidRPr="00981F75">
        <w:rPr>
          <w:rFonts w:ascii="Arial" w:hAnsi="Arial" w:cs="Arial"/>
          <w:sz w:val="22"/>
          <w:szCs w:val="22"/>
        </w:rPr>
        <w:t xml:space="preserve"> </w:t>
      </w:r>
      <w:r w:rsidRPr="00981F75">
        <w:rPr>
          <w:rFonts w:ascii="Arial" w:hAnsi="Arial" w:cs="Arial"/>
          <w:sz w:val="22"/>
          <w:szCs w:val="22"/>
        </w:rPr>
        <w:t xml:space="preserve">postojećih dioničara Društva, </w:t>
      </w:r>
      <w:r w:rsidR="006A16B6">
        <w:rPr>
          <w:rFonts w:ascii="Arial" w:hAnsi="Arial" w:cs="Arial"/>
          <w:sz w:val="22"/>
          <w:szCs w:val="22"/>
        </w:rPr>
        <w:t xml:space="preserve">odnosno </w:t>
      </w:r>
      <w:r w:rsidRPr="00981F75">
        <w:rPr>
          <w:rFonts w:ascii="Arial" w:hAnsi="Arial" w:cs="Arial"/>
          <w:sz w:val="22"/>
          <w:szCs w:val="22"/>
        </w:rPr>
        <w:t>od strane</w:t>
      </w:r>
      <w:r w:rsidR="00030964">
        <w:rPr>
          <w:rFonts w:ascii="Arial" w:hAnsi="Arial" w:cs="Arial"/>
          <w:sz w:val="22"/>
          <w:szCs w:val="22"/>
        </w:rPr>
        <w:t xml:space="preserve"> </w:t>
      </w:r>
      <w:proofErr w:type="spellStart"/>
      <w:r w:rsidRPr="00981F75">
        <w:rPr>
          <w:rFonts w:ascii="Arial" w:hAnsi="Arial" w:cs="Arial"/>
          <w:sz w:val="22"/>
          <w:szCs w:val="22"/>
        </w:rPr>
        <w:t>Polish</w:t>
      </w:r>
      <w:proofErr w:type="spellEnd"/>
      <w:r w:rsidRPr="00981F75">
        <w:rPr>
          <w:rFonts w:ascii="Arial" w:hAnsi="Arial" w:cs="Arial"/>
          <w:sz w:val="22"/>
          <w:szCs w:val="22"/>
        </w:rPr>
        <w:t xml:space="preserve"> Enterprise </w:t>
      </w:r>
      <w:proofErr w:type="spellStart"/>
      <w:r w:rsidRPr="00981F75">
        <w:rPr>
          <w:rFonts w:ascii="Arial" w:hAnsi="Arial" w:cs="Arial"/>
          <w:sz w:val="22"/>
          <w:szCs w:val="22"/>
        </w:rPr>
        <w:t>F</w:t>
      </w:r>
      <w:r w:rsidR="00030964">
        <w:rPr>
          <w:rFonts w:ascii="Arial" w:hAnsi="Arial" w:cs="Arial"/>
          <w:sz w:val="22"/>
          <w:szCs w:val="22"/>
        </w:rPr>
        <w:t>und</w:t>
      </w:r>
      <w:proofErr w:type="spellEnd"/>
      <w:r w:rsidR="00030964">
        <w:rPr>
          <w:rFonts w:ascii="Arial" w:hAnsi="Arial" w:cs="Arial"/>
          <w:sz w:val="22"/>
          <w:szCs w:val="22"/>
        </w:rPr>
        <w:t xml:space="preserve"> VIII</w:t>
      </w:r>
      <w:r w:rsidRPr="00981F75">
        <w:rPr>
          <w:rFonts w:ascii="Arial" w:hAnsi="Arial" w:cs="Arial"/>
          <w:sz w:val="22"/>
          <w:szCs w:val="22"/>
        </w:rPr>
        <w:t xml:space="preserve"> (PEF</w:t>
      </w:r>
      <w:r w:rsidR="00030964">
        <w:rPr>
          <w:rFonts w:ascii="Arial" w:hAnsi="Arial" w:cs="Arial"/>
          <w:sz w:val="22"/>
          <w:szCs w:val="22"/>
        </w:rPr>
        <w:t xml:space="preserve"> VIII</w:t>
      </w:r>
      <w:r w:rsidRPr="00981F75">
        <w:rPr>
          <w:rFonts w:ascii="Arial" w:hAnsi="Arial" w:cs="Arial"/>
          <w:sz w:val="22"/>
          <w:szCs w:val="22"/>
        </w:rPr>
        <w:t xml:space="preserve">), kojim upravlja Enterprise Investors, </w:t>
      </w:r>
      <w:r w:rsidR="00036A0F" w:rsidRPr="00981F75">
        <w:rPr>
          <w:rFonts w:ascii="Arial" w:hAnsi="Arial" w:cs="Arial"/>
          <w:sz w:val="22"/>
          <w:szCs w:val="22"/>
        </w:rPr>
        <w:t xml:space="preserve">odnosno jedan od najvećih </w:t>
      </w:r>
      <w:proofErr w:type="spellStart"/>
      <w:r w:rsidR="00036A0F" w:rsidRPr="00981F75">
        <w:rPr>
          <w:rFonts w:ascii="Arial" w:hAnsi="Arial" w:cs="Arial"/>
          <w:sz w:val="22"/>
          <w:szCs w:val="22"/>
        </w:rPr>
        <w:t>private</w:t>
      </w:r>
      <w:proofErr w:type="spellEnd"/>
      <w:r w:rsidR="00C715DF">
        <w:rPr>
          <w:rFonts w:ascii="Arial" w:hAnsi="Arial" w:cs="Arial"/>
          <w:sz w:val="22"/>
          <w:szCs w:val="22"/>
        </w:rPr>
        <w:t xml:space="preserve"> </w:t>
      </w:r>
      <w:proofErr w:type="spellStart"/>
      <w:r w:rsidR="00036A0F" w:rsidRPr="00981F75">
        <w:rPr>
          <w:rFonts w:ascii="Arial" w:hAnsi="Arial" w:cs="Arial"/>
          <w:sz w:val="22"/>
          <w:szCs w:val="22"/>
        </w:rPr>
        <w:t>equity</w:t>
      </w:r>
      <w:proofErr w:type="spellEnd"/>
      <w:r w:rsidR="00036A0F" w:rsidRPr="00981F75">
        <w:rPr>
          <w:rFonts w:ascii="Arial" w:hAnsi="Arial" w:cs="Arial"/>
          <w:sz w:val="22"/>
          <w:szCs w:val="22"/>
        </w:rPr>
        <w:t xml:space="preserve"> fondova u srednjoj i istočnoj Europi, a koji trenutno ima otprilike </w:t>
      </w:r>
      <w:r w:rsidR="00235474">
        <w:rPr>
          <w:rFonts w:ascii="Arial" w:hAnsi="Arial" w:cs="Arial"/>
          <w:sz w:val="22"/>
          <w:szCs w:val="22"/>
        </w:rPr>
        <w:t>90,08</w:t>
      </w:r>
      <w:r w:rsidR="00036A0F" w:rsidRPr="00981F75">
        <w:rPr>
          <w:rFonts w:ascii="Arial" w:hAnsi="Arial" w:cs="Arial"/>
          <w:sz w:val="22"/>
          <w:szCs w:val="22"/>
        </w:rPr>
        <w:t xml:space="preserve"> posto dionica </w:t>
      </w:r>
      <w:r w:rsidR="003852B4" w:rsidRPr="00981F75">
        <w:rPr>
          <w:rFonts w:ascii="Arial" w:hAnsi="Arial" w:cs="Arial"/>
          <w:sz w:val="22"/>
          <w:szCs w:val="22"/>
        </w:rPr>
        <w:t>Društva</w:t>
      </w:r>
      <w:r w:rsidR="006A16B6">
        <w:rPr>
          <w:rFonts w:ascii="Arial" w:hAnsi="Arial" w:cs="Arial"/>
          <w:sz w:val="22"/>
          <w:szCs w:val="22"/>
        </w:rPr>
        <w:t xml:space="preserve"> </w:t>
      </w:r>
      <w:r w:rsidR="006A16B6" w:rsidRPr="006A16B6">
        <w:rPr>
          <w:rFonts w:ascii="Arial" w:hAnsi="Arial" w:cs="Arial"/>
          <w:sz w:val="22"/>
          <w:szCs w:val="22"/>
        </w:rPr>
        <w:t xml:space="preserve">te od strane Beragua Capital Advisory S.L., </w:t>
      </w:r>
      <w:proofErr w:type="spellStart"/>
      <w:r w:rsidR="006A16B6" w:rsidRPr="006A16B6">
        <w:rPr>
          <w:rFonts w:ascii="Arial" w:hAnsi="Arial" w:cs="Arial"/>
          <w:sz w:val="22"/>
          <w:szCs w:val="22"/>
        </w:rPr>
        <w:t>Heunadel</w:t>
      </w:r>
      <w:proofErr w:type="spellEnd"/>
      <w:r w:rsidR="006A16B6" w:rsidRPr="006A16B6">
        <w:rPr>
          <w:rFonts w:ascii="Arial" w:hAnsi="Arial" w:cs="Arial"/>
          <w:sz w:val="22"/>
          <w:szCs w:val="22"/>
        </w:rPr>
        <w:t xml:space="preserve"> </w:t>
      </w:r>
      <w:proofErr w:type="spellStart"/>
      <w:r w:rsidR="006A16B6" w:rsidRPr="006A16B6">
        <w:rPr>
          <w:rFonts w:ascii="Arial" w:hAnsi="Arial" w:cs="Arial"/>
          <w:sz w:val="22"/>
          <w:szCs w:val="22"/>
        </w:rPr>
        <w:t>Retail</w:t>
      </w:r>
      <w:proofErr w:type="spellEnd"/>
      <w:r w:rsidR="006A16B6" w:rsidRPr="006A16B6">
        <w:rPr>
          <w:rFonts w:ascii="Arial" w:hAnsi="Arial" w:cs="Arial"/>
          <w:sz w:val="22"/>
          <w:szCs w:val="22"/>
        </w:rPr>
        <w:t xml:space="preserve"> </w:t>
      </w:r>
      <w:proofErr w:type="spellStart"/>
      <w:r w:rsidR="006A16B6" w:rsidRPr="006A16B6">
        <w:rPr>
          <w:rFonts w:ascii="Arial" w:hAnsi="Arial" w:cs="Arial"/>
          <w:sz w:val="22"/>
          <w:szCs w:val="22"/>
        </w:rPr>
        <w:t>Invest</w:t>
      </w:r>
      <w:proofErr w:type="spellEnd"/>
      <w:r w:rsidR="006A16B6" w:rsidRPr="006A16B6">
        <w:rPr>
          <w:rFonts w:ascii="Arial" w:hAnsi="Arial" w:cs="Arial"/>
          <w:sz w:val="22"/>
          <w:szCs w:val="22"/>
        </w:rPr>
        <w:t xml:space="preserve"> </w:t>
      </w:r>
      <w:proofErr w:type="spellStart"/>
      <w:r w:rsidR="006A16B6" w:rsidRPr="006A16B6">
        <w:rPr>
          <w:rFonts w:ascii="Arial" w:hAnsi="Arial" w:cs="Arial"/>
          <w:sz w:val="22"/>
          <w:szCs w:val="22"/>
        </w:rPr>
        <w:t>GmbH</w:t>
      </w:r>
      <w:proofErr w:type="spellEnd"/>
      <w:r w:rsidR="006A16B6" w:rsidRPr="006A16B6">
        <w:rPr>
          <w:rFonts w:ascii="Arial" w:hAnsi="Arial" w:cs="Arial"/>
          <w:sz w:val="22"/>
          <w:szCs w:val="22"/>
        </w:rPr>
        <w:t xml:space="preserve">, </w:t>
      </w:r>
      <w:proofErr w:type="spellStart"/>
      <w:r w:rsidR="006A16B6" w:rsidRPr="006A16B6">
        <w:rPr>
          <w:rFonts w:ascii="Arial" w:hAnsi="Arial" w:cs="Arial"/>
          <w:sz w:val="22"/>
          <w:szCs w:val="22"/>
        </w:rPr>
        <w:t>Elisario</w:t>
      </w:r>
      <w:proofErr w:type="spellEnd"/>
      <w:r w:rsidR="006A16B6" w:rsidRPr="006A16B6">
        <w:rPr>
          <w:rFonts w:ascii="Arial" w:hAnsi="Arial" w:cs="Arial"/>
          <w:sz w:val="22"/>
          <w:szCs w:val="22"/>
        </w:rPr>
        <w:t xml:space="preserve"> </w:t>
      </w:r>
      <w:proofErr w:type="spellStart"/>
      <w:r w:rsidR="006A16B6" w:rsidRPr="006A16B6">
        <w:rPr>
          <w:rFonts w:ascii="Arial" w:hAnsi="Arial" w:cs="Arial"/>
          <w:sz w:val="22"/>
          <w:szCs w:val="22"/>
        </w:rPr>
        <w:t>Limited</w:t>
      </w:r>
      <w:proofErr w:type="spellEnd"/>
      <w:r w:rsidR="006A16B6" w:rsidRPr="006A16B6">
        <w:rPr>
          <w:rFonts w:ascii="Arial" w:hAnsi="Arial" w:cs="Arial"/>
          <w:sz w:val="22"/>
          <w:szCs w:val="22"/>
        </w:rPr>
        <w:t xml:space="preserve"> i Vladimira </w:t>
      </w:r>
      <w:proofErr w:type="spellStart"/>
      <w:r w:rsidR="006A16B6" w:rsidRPr="006A16B6">
        <w:rPr>
          <w:rFonts w:ascii="Arial" w:hAnsi="Arial" w:cs="Arial"/>
          <w:sz w:val="22"/>
          <w:szCs w:val="22"/>
        </w:rPr>
        <w:t>Bosiljevca</w:t>
      </w:r>
      <w:proofErr w:type="spellEnd"/>
      <w:r w:rsidR="006A16B6" w:rsidRPr="006A16B6">
        <w:rPr>
          <w:rFonts w:ascii="Arial" w:hAnsi="Arial" w:cs="Arial"/>
          <w:sz w:val="22"/>
          <w:szCs w:val="22"/>
        </w:rPr>
        <w:t xml:space="preserve"> (zajedno “Manjinski </w:t>
      </w:r>
      <w:r w:rsidR="00C715DF">
        <w:rPr>
          <w:rFonts w:ascii="Arial" w:hAnsi="Arial" w:cs="Arial"/>
          <w:sz w:val="22"/>
          <w:szCs w:val="22"/>
        </w:rPr>
        <w:t>D</w:t>
      </w:r>
      <w:r w:rsidR="006A16B6" w:rsidRPr="006A16B6">
        <w:rPr>
          <w:rFonts w:ascii="Arial" w:hAnsi="Arial" w:cs="Arial"/>
          <w:sz w:val="22"/>
          <w:szCs w:val="22"/>
        </w:rPr>
        <w:t>ioničari</w:t>
      </w:r>
      <w:r w:rsidR="00F56B12">
        <w:rPr>
          <w:rFonts w:ascii="Arial" w:hAnsi="Arial" w:cs="Arial"/>
          <w:sz w:val="22"/>
          <w:szCs w:val="22"/>
        </w:rPr>
        <w:t xml:space="preserve"> </w:t>
      </w:r>
      <w:r w:rsidR="00C715DF">
        <w:rPr>
          <w:rFonts w:ascii="Arial" w:hAnsi="Arial" w:cs="Arial"/>
          <w:sz w:val="22"/>
          <w:szCs w:val="22"/>
        </w:rPr>
        <w:t xml:space="preserve">Prodavatelji </w:t>
      </w:r>
      <w:r w:rsidR="006A16B6" w:rsidRPr="006A16B6">
        <w:rPr>
          <w:rFonts w:ascii="Arial" w:hAnsi="Arial" w:cs="Arial"/>
          <w:sz w:val="22"/>
          <w:szCs w:val="22"/>
        </w:rPr>
        <w:t xml:space="preserve">”) koji zajedno drže </w:t>
      </w:r>
      <w:r w:rsidR="00F56B12">
        <w:rPr>
          <w:rFonts w:ascii="Arial" w:hAnsi="Arial" w:cs="Arial"/>
          <w:sz w:val="22"/>
          <w:szCs w:val="22"/>
        </w:rPr>
        <w:t>približno</w:t>
      </w:r>
      <w:r w:rsidR="006A16B6" w:rsidRPr="006A16B6">
        <w:rPr>
          <w:rFonts w:ascii="Arial" w:hAnsi="Arial" w:cs="Arial"/>
          <w:sz w:val="22"/>
          <w:szCs w:val="22"/>
        </w:rPr>
        <w:t xml:space="preserve"> 9,16</w:t>
      </w:r>
      <w:r w:rsidR="006A16B6">
        <w:rPr>
          <w:rFonts w:ascii="Arial" w:hAnsi="Arial" w:cs="Arial"/>
          <w:sz w:val="22"/>
          <w:szCs w:val="22"/>
        </w:rPr>
        <w:t xml:space="preserve"> posto</w:t>
      </w:r>
      <w:r w:rsidR="006A16B6" w:rsidRPr="006A16B6">
        <w:rPr>
          <w:rFonts w:ascii="Arial" w:hAnsi="Arial" w:cs="Arial"/>
          <w:sz w:val="22"/>
          <w:szCs w:val="22"/>
        </w:rPr>
        <w:t xml:space="preserve"> dionica Društva. Osim toga, otprilike 0,76</w:t>
      </w:r>
      <w:r w:rsidR="006A16B6">
        <w:rPr>
          <w:rFonts w:ascii="Arial" w:hAnsi="Arial" w:cs="Arial"/>
          <w:sz w:val="22"/>
          <w:szCs w:val="22"/>
        </w:rPr>
        <w:t xml:space="preserve"> posto</w:t>
      </w:r>
      <w:r w:rsidR="006A16B6" w:rsidRPr="006A16B6">
        <w:rPr>
          <w:rFonts w:ascii="Arial" w:hAnsi="Arial" w:cs="Arial"/>
          <w:sz w:val="22"/>
          <w:szCs w:val="22"/>
        </w:rPr>
        <w:t xml:space="preserve"> dionica Društva drže određeni drugi dioničari</w:t>
      </w:r>
      <w:r w:rsidR="00AE3380">
        <w:rPr>
          <w:rFonts w:ascii="Arial" w:hAnsi="Arial" w:cs="Arial"/>
          <w:sz w:val="22"/>
          <w:szCs w:val="22"/>
        </w:rPr>
        <w:t>, uključujući članove Uprave,</w:t>
      </w:r>
      <w:r w:rsidR="00AE3380" w:rsidRPr="006A16B6">
        <w:rPr>
          <w:rFonts w:ascii="Arial" w:hAnsi="Arial" w:cs="Arial"/>
          <w:sz w:val="22"/>
          <w:szCs w:val="22"/>
        </w:rPr>
        <w:t xml:space="preserve"> </w:t>
      </w:r>
      <w:r w:rsidR="006A16B6" w:rsidRPr="006A16B6">
        <w:rPr>
          <w:rFonts w:ascii="Arial" w:hAnsi="Arial" w:cs="Arial"/>
          <w:sz w:val="22"/>
          <w:szCs w:val="22"/>
        </w:rPr>
        <w:t>koji neće prodavati dionice u ponudi (tzv. “</w:t>
      </w:r>
      <w:r w:rsidR="00C715DF">
        <w:rPr>
          <w:rFonts w:ascii="Arial" w:hAnsi="Arial" w:cs="Arial"/>
          <w:sz w:val="22"/>
          <w:szCs w:val="22"/>
        </w:rPr>
        <w:t xml:space="preserve">Ostali </w:t>
      </w:r>
      <w:r w:rsidR="006A16B6" w:rsidRPr="006A16B6">
        <w:rPr>
          <w:rFonts w:ascii="Arial" w:hAnsi="Arial" w:cs="Arial"/>
          <w:sz w:val="22"/>
          <w:szCs w:val="22"/>
        </w:rPr>
        <w:t xml:space="preserve">Manjinski </w:t>
      </w:r>
      <w:r w:rsidR="00C715DF">
        <w:rPr>
          <w:rFonts w:ascii="Arial" w:hAnsi="Arial" w:cs="Arial"/>
          <w:sz w:val="22"/>
          <w:szCs w:val="22"/>
        </w:rPr>
        <w:t>D</w:t>
      </w:r>
      <w:r w:rsidR="00C715DF" w:rsidRPr="006A16B6">
        <w:rPr>
          <w:rFonts w:ascii="Arial" w:hAnsi="Arial" w:cs="Arial"/>
          <w:sz w:val="22"/>
          <w:szCs w:val="22"/>
        </w:rPr>
        <w:t>ioničari</w:t>
      </w:r>
      <w:r w:rsidR="00C715DF">
        <w:rPr>
          <w:rFonts w:ascii="Arial" w:hAnsi="Arial" w:cs="Arial"/>
          <w:sz w:val="22"/>
          <w:szCs w:val="22"/>
        </w:rPr>
        <w:t xml:space="preserve"> </w:t>
      </w:r>
      <w:r w:rsidR="006A16B6" w:rsidRPr="006A16B6">
        <w:rPr>
          <w:rFonts w:ascii="Arial" w:hAnsi="Arial" w:cs="Arial"/>
          <w:sz w:val="22"/>
          <w:szCs w:val="22"/>
        </w:rPr>
        <w:t>”).</w:t>
      </w:r>
    </w:p>
    <w:p w14:paraId="2364975B" w14:textId="41DC6523" w:rsidR="005512BF" w:rsidRPr="00981F75" w:rsidRDefault="003852B4" w:rsidP="00B337CE">
      <w:pPr>
        <w:pStyle w:val="NormalWeb"/>
        <w:numPr>
          <w:ilvl w:val="0"/>
          <w:numId w:val="4"/>
        </w:numPr>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Društvo</w:t>
      </w:r>
      <w:r w:rsidR="005512BF" w:rsidRPr="00981F75">
        <w:rPr>
          <w:rFonts w:ascii="Arial" w:hAnsi="Arial" w:cs="Arial"/>
          <w:sz w:val="22"/>
          <w:szCs w:val="22"/>
        </w:rPr>
        <w:t xml:space="preserve"> namjerava </w:t>
      </w:r>
      <w:r w:rsidR="00B74C5B">
        <w:rPr>
          <w:rFonts w:ascii="Arial" w:hAnsi="Arial" w:cs="Arial"/>
          <w:sz w:val="22"/>
          <w:szCs w:val="22"/>
        </w:rPr>
        <w:t xml:space="preserve">prikupiti </w:t>
      </w:r>
      <w:r w:rsidR="00F56B12">
        <w:rPr>
          <w:rFonts w:ascii="Arial" w:hAnsi="Arial" w:cs="Arial"/>
          <w:sz w:val="22"/>
          <w:szCs w:val="22"/>
        </w:rPr>
        <w:t xml:space="preserve">bruto priljev </w:t>
      </w:r>
      <w:r w:rsidR="00030964">
        <w:rPr>
          <w:rFonts w:ascii="Arial" w:hAnsi="Arial" w:cs="Arial"/>
          <w:sz w:val="22"/>
          <w:szCs w:val="22"/>
        </w:rPr>
        <w:t xml:space="preserve">od okvirno 80 milijuna eura </w:t>
      </w:r>
      <w:r w:rsidR="00036A0F" w:rsidRPr="00981F75">
        <w:rPr>
          <w:rFonts w:ascii="Arial" w:hAnsi="Arial" w:cs="Arial"/>
          <w:sz w:val="22"/>
          <w:szCs w:val="22"/>
        </w:rPr>
        <w:t>izda</w:t>
      </w:r>
      <w:r w:rsidR="00F56B12">
        <w:rPr>
          <w:rFonts w:ascii="Arial" w:hAnsi="Arial" w:cs="Arial"/>
          <w:sz w:val="22"/>
          <w:szCs w:val="22"/>
        </w:rPr>
        <w:t>njem</w:t>
      </w:r>
      <w:r w:rsidR="00036A0F" w:rsidRPr="00981F75">
        <w:rPr>
          <w:rFonts w:ascii="Arial" w:hAnsi="Arial" w:cs="Arial"/>
          <w:sz w:val="22"/>
          <w:szCs w:val="22"/>
        </w:rPr>
        <w:t xml:space="preserve"> novih dionica u sklopu ponude </w:t>
      </w:r>
      <w:r w:rsidR="00030964">
        <w:rPr>
          <w:rFonts w:ascii="Arial" w:hAnsi="Arial" w:cs="Arial"/>
          <w:sz w:val="22"/>
          <w:szCs w:val="22"/>
        </w:rPr>
        <w:t>kako bi</w:t>
      </w:r>
      <w:r w:rsidR="00036A0F" w:rsidRPr="00981F75">
        <w:rPr>
          <w:rFonts w:ascii="Arial" w:hAnsi="Arial" w:cs="Arial"/>
          <w:sz w:val="22"/>
          <w:szCs w:val="22"/>
        </w:rPr>
        <w:t xml:space="preserve"> financira</w:t>
      </w:r>
      <w:r w:rsidR="00030964">
        <w:rPr>
          <w:rFonts w:ascii="Arial" w:hAnsi="Arial" w:cs="Arial"/>
          <w:sz w:val="22"/>
          <w:szCs w:val="22"/>
        </w:rPr>
        <w:t xml:space="preserve">li </w:t>
      </w:r>
      <w:r w:rsidR="00036A0F" w:rsidRPr="00981F75">
        <w:rPr>
          <w:rFonts w:ascii="Arial" w:hAnsi="Arial" w:cs="Arial"/>
          <w:sz w:val="22"/>
          <w:szCs w:val="22"/>
        </w:rPr>
        <w:t>daljnj</w:t>
      </w:r>
      <w:r w:rsidR="00030964">
        <w:rPr>
          <w:rFonts w:ascii="Arial" w:hAnsi="Arial" w:cs="Arial"/>
          <w:sz w:val="22"/>
          <w:szCs w:val="22"/>
        </w:rPr>
        <w:t>i</w:t>
      </w:r>
      <w:r w:rsidR="00036A0F" w:rsidRPr="00981F75">
        <w:rPr>
          <w:rFonts w:ascii="Arial" w:hAnsi="Arial" w:cs="Arial"/>
          <w:sz w:val="22"/>
          <w:szCs w:val="22"/>
        </w:rPr>
        <w:t xml:space="preserve"> dinamič</w:t>
      </w:r>
      <w:r w:rsidR="00030964">
        <w:rPr>
          <w:rFonts w:ascii="Arial" w:hAnsi="Arial" w:cs="Arial"/>
          <w:sz w:val="22"/>
          <w:szCs w:val="22"/>
        </w:rPr>
        <w:t>a</w:t>
      </w:r>
      <w:r w:rsidR="00036A0F" w:rsidRPr="00981F75">
        <w:rPr>
          <w:rFonts w:ascii="Arial" w:hAnsi="Arial" w:cs="Arial"/>
          <w:sz w:val="22"/>
          <w:szCs w:val="22"/>
        </w:rPr>
        <w:t>n rast poslovanja, uključujući akvizicije i širenje mreže trgovina, kao i smanj</w:t>
      </w:r>
      <w:r w:rsidR="00030964">
        <w:rPr>
          <w:rFonts w:ascii="Arial" w:hAnsi="Arial" w:cs="Arial"/>
          <w:sz w:val="22"/>
          <w:szCs w:val="22"/>
        </w:rPr>
        <w:t xml:space="preserve">ili </w:t>
      </w:r>
      <w:r w:rsidR="00036A0F" w:rsidRPr="00981F75">
        <w:rPr>
          <w:rFonts w:ascii="Arial" w:hAnsi="Arial" w:cs="Arial"/>
          <w:sz w:val="22"/>
          <w:szCs w:val="22"/>
        </w:rPr>
        <w:t>zaduženost mjeren</w:t>
      </w:r>
      <w:r w:rsidR="00F56B12">
        <w:rPr>
          <w:rFonts w:ascii="Arial" w:hAnsi="Arial" w:cs="Arial"/>
          <w:sz w:val="22"/>
          <w:szCs w:val="22"/>
        </w:rPr>
        <w:t>u</w:t>
      </w:r>
      <w:r w:rsidR="00036A0F" w:rsidRPr="00981F75">
        <w:rPr>
          <w:rFonts w:ascii="Arial" w:hAnsi="Arial" w:cs="Arial"/>
          <w:sz w:val="22"/>
          <w:szCs w:val="22"/>
        </w:rPr>
        <w:t xml:space="preserve"> omjerom </w:t>
      </w:r>
      <w:r w:rsidR="007809A1">
        <w:rPr>
          <w:rFonts w:ascii="Arial" w:hAnsi="Arial" w:cs="Arial"/>
          <w:sz w:val="22"/>
          <w:szCs w:val="22"/>
        </w:rPr>
        <w:t>Prilagođen</w:t>
      </w:r>
      <w:r w:rsidR="00F56B12">
        <w:rPr>
          <w:rFonts w:ascii="Arial" w:hAnsi="Arial" w:cs="Arial"/>
          <w:sz w:val="22"/>
          <w:szCs w:val="22"/>
        </w:rPr>
        <w:t>og</w:t>
      </w:r>
      <w:r w:rsidR="007809A1">
        <w:rPr>
          <w:rFonts w:ascii="Arial" w:hAnsi="Arial" w:cs="Arial"/>
          <w:sz w:val="22"/>
          <w:szCs w:val="22"/>
        </w:rPr>
        <w:t xml:space="preserve"> n</w:t>
      </w:r>
      <w:r w:rsidR="00036A0F" w:rsidRPr="00981F75">
        <w:rPr>
          <w:rFonts w:ascii="Arial" w:hAnsi="Arial" w:cs="Arial"/>
          <w:sz w:val="22"/>
          <w:szCs w:val="22"/>
        </w:rPr>
        <w:t>eto dug</w:t>
      </w:r>
      <w:r w:rsidR="00F56B12">
        <w:rPr>
          <w:rFonts w:ascii="Arial" w:hAnsi="Arial" w:cs="Arial"/>
          <w:sz w:val="22"/>
          <w:szCs w:val="22"/>
        </w:rPr>
        <w:t>a</w:t>
      </w:r>
      <w:r w:rsidR="00036A0F" w:rsidRPr="00981F75">
        <w:rPr>
          <w:rFonts w:ascii="Arial" w:hAnsi="Arial" w:cs="Arial"/>
          <w:sz w:val="22"/>
          <w:szCs w:val="22"/>
        </w:rPr>
        <w:t>/EBITDA.</w:t>
      </w:r>
    </w:p>
    <w:p w14:paraId="73DB78FF" w14:textId="6C67FFE2" w:rsidR="007809A1" w:rsidRDefault="007809A1" w:rsidP="007809A1">
      <w:pPr>
        <w:pStyle w:val="NormalWeb"/>
        <w:numPr>
          <w:ilvl w:val="0"/>
          <w:numId w:val="4"/>
        </w:numPr>
        <w:spacing w:before="0" w:beforeAutospacing="0" w:after="120" w:afterAutospacing="0" w:line="264" w:lineRule="auto"/>
        <w:jc w:val="both"/>
        <w:rPr>
          <w:rFonts w:ascii="Arial" w:hAnsi="Arial" w:cs="Arial"/>
          <w:sz w:val="22"/>
          <w:szCs w:val="22"/>
        </w:rPr>
      </w:pPr>
      <w:r w:rsidRPr="007809A1">
        <w:rPr>
          <w:rFonts w:ascii="Arial" w:hAnsi="Arial" w:cs="Arial"/>
          <w:sz w:val="22"/>
          <w:szCs w:val="22"/>
        </w:rPr>
        <w:t xml:space="preserve">Ponuda će biti upućena </w:t>
      </w:r>
      <w:r w:rsidR="00F56B12">
        <w:rPr>
          <w:rFonts w:ascii="Arial" w:hAnsi="Arial" w:cs="Arial"/>
          <w:sz w:val="22"/>
          <w:szCs w:val="22"/>
        </w:rPr>
        <w:t>malim</w:t>
      </w:r>
      <w:r w:rsidR="00F56B12" w:rsidRPr="007809A1">
        <w:rPr>
          <w:rFonts w:ascii="Arial" w:hAnsi="Arial" w:cs="Arial"/>
          <w:sz w:val="22"/>
          <w:szCs w:val="22"/>
        </w:rPr>
        <w:t xml:space="preserve"> </w:t>
      </w:r>
      <w:r w:rsidRPr="007809A1">
        <w:rPr>
          <w:rFonts w:ascii="Arial" w:hAnsi="Arial" w:cs="Arial"/>
          <w:sz w:val="22"/>
          <w:szCs w:val="22"/>
        </w:rPr>
        <w:t xml:space="preserve">i institucionalnim ulagateljima u Hrvatskoj </w:t>
      </w:r>
      <w:r>
        <w:rPr>
          <w:rFonts w:ascii="Arial" w:hAnsi="Arial" w:cs="Arial"/>
          <w:sz w:val="22"/>
          <w:szCs w:val="22"/>
        </w:rPr>
        <w:t xml:space="preserve">i </w:t>
      </w:r>
      <w:r w:rsidRPr="007809A1">
        <w:rPr>
          <w:rFonts w:ascii="Arial" w:hAnsi="Arial" w:cs="Arial"/>
          <w:sz w:val="22"/>
          <w:szCs w:val="22"/>
        </w:rPr>
        <w:t xml:space="preserve">Poljskoj, u svakom slučaju u skladu s </w:t>
      </w:r>
      <w:r w:rsidR="00F56B12">
        <w:rPr>
          <w:rFonts w:ascii="Arial" w:hAnsi="Arial" w:cs="Arial"/>
          <w:sz w:val="22"/>
          <w:szCs w:val="22"/>
        </w:rPr>
        <w:t xml:space="preserve">Uredbom S (eng. Regulation </w:t>
      </w:r>
      <w:r w:rsidRPr="007809A1">
        <w:rPr>
          <w:rFonts w:ascii="Arial" w:hAnsi="Arial" w:cs="Arial"/>
          <w:sz w:val="22"/>
          <w:szCs w:val="22"/>
        </w:rPr>
        <w:t xml:space="preserve"> S</w:t>
      </w:r>
      <w:r w:rsidR="00F56B12">
        <w:rPr>
          <w:rFonts w:ascii="Arial" w:hAnsi="Arial" w:cs="Arial"/>
          <w:sz w:val="22"/>
          <w:szCs w:val="22"/>
        </w:rPr>
        <w:t>)</w:t>
      </w:r>
      <w:r w:rsidRPr="007809A1">
        <w:rPr>
          <w:rFonts w:ascii="Arial" w:hAnsi="Arial" w:cs="Arial"/>
          <w:sz w:val="22"/>
          <w:szCs w:val="22"/>
        </w:rPr>
        <w:t xml:space="preserve"> prema Zakonu o vrijednosnim papirima SAD-a, kvalificiranim institucionalnim </w:t>
      </w:r>
      <w:r>
        <w:rPr>
          <w:rFonts w:ascii="Arial" w:hAnsi="Arial" w:cs="Arial"/>
          <w:sz w:val="22"/>
          <w:szCs w:val="22"/>
        </w:rPr>
        <w:t>kupcima</w:t>
      </w:r>
      <w:r w:rsidRPr="007809A1">
        <w:rPr>
          <w:rFonts w:ascii="Arial" w:hAnsi="Arial" w:cs="Arial"/>
          <w:sz w:val="22"/>
          <w:szCs w:val="22"/>
        </w:rPr>
        <w:t xml:space="preserve"> u Sjedinjenim Američkim Državama u skladu s i temeljem Pravila 144A </w:t>
      </w:r>
      <w:r w:rsidR="00F56B12">
        <w:rPr>
          <w:rFonts w:ascii="Arial" w:hAnsi="Arial" w:cs="Arial"/>
          <w:sz w:val="22"/>
          <w:szCs w:val="22"/>
        </w:rPr>
        <w:t xml:space="preserve">(eng. Rule 144A) </w:t>
      </w:r>
      <w:r w:rsidRPr="007809A1">
        <w:rPr>
          <w:rFonts w:ascii="Arial" w:hAnsi="Arial" w:cs="Arial"/>
          <w:sz w:val="22"/>
          <w:szCs w:val="22"/>
        </w:rPr>
        <w:t>prema Zakonu o vrijednosnim papirima SAD-a, kao i odabranim međunarodnim institucionalnim ulagateljima u određenim drugim jurisdikcijama.</w:t>
      </w:r>
    </w:p>
    <w:p w14:paraId="5D0272AE" w14:textId="6DBEB729" w:rsidR="009F0346" w:rsidRPr="00C85C97" w:rsidRDefault="009F0346" w:rsidP="007809A1">
      <w:pPr>
        <w:pStyle w:val="NormalWeb"/>
        <w:numPr>
          <w:ilvl w:val="0"/>
          <w:numId w:val="4"/>
        </w:numPr>
        <w:spacing w:before="0" w:beforeAutospacing="0" w:after="120" w:afterAutospacing="0" w:line="264" w:lineRule="auto"/>
        <w:jc w:val="both"/>
        <w:rPr>
          <w:rFonts w:ascii="Arial" w:hAnsi="Arial" w:cs="Arial"/>
          <w:sz w:val="22"/>
          <w:szCs w:val="22"/>
        </w:rPr>
      </w:pPr>
      <w:r w:rsidRPr="00C85C97">
        <w:rPr>
          <w:rFonts w:ascii="Arial" w:hAnsi="Arial" w:cs="Arial"/>
          <w:sz w:val="22"/>
          <w:szCs w:val="22"/>
        </w:rPr>
        <w:t xml:space="preserve">Malim ulagateljima mogu biti ponuđene postojeće dionice do najviše </w:t>
      </w:r>
      <w:r w:rsidR="00C16EC4">
        <w:rPr>
          <w:rFonts w:ascii="Arial" w:hAnsi="Arial" w:cs="Arial"/>
          <w:sz w:val="22"/>
          <w:szCs w:val="22"/>
        </w:rPr>
        <w:t>približno</w:t>
      </w:r>
      <w:r w:rsidR="00C16EC4" w:rsidRPr="00C85C97">
        <w:rPr>
          <w:rFonts w:ascii="Arial" w:hAnsi="Arial" w:cs="Arial"/>
          <w:sz w:val="22"/>
          <w:szCs w:val="22"/>
        </w:rPr>
        <w:t xml:space="preserve"> </w:t>
      </w:r>
      <w:r w:rsidRPr="00C85C97">
        <w:rPr>
          <w:rFonts w:ascii="Arial" w:hAnsi="Arial" w:cs="Arial"/>
          <w:sz w:val="22"/>
          <w:szCs w:val="22"/>
        </w:rPr>
        <w:t xml:space="preserve">10 posto dionica koje će biti ponuđene u </w:t>
      </w:r>
      <w:r w:rsidR="00C16EC4">
        <w:rPr>
          <w:rFonts w:ascii="Arial" w:hAnsi="Arial" w:cs="Arial"/>
          <w:sz w:val="22"/>
          <w:szCs w:val="22"/>
        </w:rPr>
        <w:t>p</w:t>
      </w:r>
      <w:r w:rsidR="00C16EC4" w:rsidRPr="00C85C97">
        <w:rPr>
          <w:rFonts w:ascii="Arial" w:hAnsi="Arial" w:cs="Arial"/>
          <w:sz w:val="22"/>
          <w:szCs w:val="22"/>
        </w:rPr>
        <w:t>onudi</w:t>
      </w:r>
      <w:r w:rsidRPr="00C85C97">
        <w:rPr>
          <w:rFonts w:ascii="Arial" w:hAnsi="Arial" w:cs="Arial"/>
          <w:sz w:val="22"/>
          <w:szCs w:val="22"/>
        </w:rPr>
        <w:t xml:space="preserve">. </w:t>
      </w:r>
    </w:p>
    <w:p w14:paraId="1556A607" w14:textId="3C5CC4F2" w:rsidR="00306E1C" w:rsidRDefault="00036A0F" w:rsidP="00CF6270">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t>Uvjeti ponude bit će predstavljeni u Prospektu koji će, zajedno s</w:t>
      </w:r>
      <w:r w:rsidR="00A510FA" w:rsidRPr="00306E1C">
        <w:rPr>
          <w:rFonts w:ascii="Arial" w:hAnsi="Arial" w:cs="Arial"/>
          <w:sz w:val="22"/>
          <w:szCs w:val="22"/>
        </w:rPr>
        <w:t xml:space="preserve"> njegovim</w:t>
      </w:r>
      <w:r w:rsidRPr="00306E1C">
        <w:rPr>
          <w:rFonts w:ascii="Arial" w:hAnsi="Arial" w:cs="Arial"/>
          <w:sz w:val="22"/>
          <w:szCs w:val="22"/>
        </w:rPr>
        <w:t xml:space="preserve"> sažetkom prevedenim na hrvatski </w:t>
      </w:r>
      <w:r w:rsidR="007809A1" w:rsidRPr="00306E1C">
        <w:rPr>
          <w:rFonts w:ascii="Arial" w:hAnsi="Arial" w:cs="Arial"/>
          <w:sz w:val="22"/>
          <w:szCs w:val="22"/>
        </w:rPr>
        <w:t xml:space="preserve">i poljski </w:t>
      </w:r>
      <w:r w:rsidRPr="00306E1C">
        <w:rPr>
          <w:rFonts w:ascii="Arial" w:hAnsi="Arial" w:cs="Arial"/>
          <w:sz w:val="22"/>
          <w:szCs w:val="22"/>
        </w:rPr>
        <w:t xml:space="preserve">jezik, biti objavljen u skladu s relevantnim propisima nakon odobrenja </w:t>
      </w:r>
      <w:r w:rsidR="00A510FA" w:rsidRPr="00306E1C">
        <w:rPr>
          <w:rFonts w:ascii="Arial" w:hAnsi="Arial" w:cs="Arial"/>
          <w:sz w:val="22"/>
          <w:szCs w:val="22"/>
        </w:rPr>
        <w:t xml:space="preserve">Luksemburške nadzorne financijske agencije </w:t>
      </w:r>
      <w:r w:rsidRPr="00306E1C">
        <w:rPr>
          <w:rFonts w:ascii="Arial" w:hAnsi="Arial" w:cs="Arial"/>
          <w:sz w:val="22"/>
          <w:szCs w:val="22"/>
        </w:rPr>
        <w:t xml:space="preserve">(Commission de Surveillance du Secteur Financier, CSSF) i postupka </w:t>
      </w:r>
      <w:r w:rsidR="00F56B12">
        <w:rPr>
          <w:rFonts w:ascii="Arial" w:hAnsi="Arial" w:cs="Arial"/>
          <w:sz w:val="22"/>
          <w:szCs w:val="22"/>
        </w:rPr>
        <w:t>notifikacije</w:t>
      </w:r>
      <w:r w:rsidR="00F56B12" w:rsidRPr="00306E1C">
        <w:rPr>
          <w:rFonts w:ascii="Arial" w:hAnsi="Arial" w:cs="Arial"/>
          <w:sz w:val="22"/>
          <w:szCs w:val="22"/>
        </w:rPr>
        <w:t xml:space="preserve"> </w:t>
      </w:r>
      <w:r w:rsidR="00A510FA" w:rsidRPr="00306E1C">
        <w:rPr>
          <w:rFonts w:ascii="Arial" w:hAnsi="Arial" w:cs="Arial"/>
          <w:sz w:val="22"/>
          <w:szCs w:val="22"/>
        </w:rPr>
        <w:t>P</w:t>
      </w:r>
      <w:r w:rsidRPr="00306E1C">
        <w:rPr>
          <w:rFonts w:ascii="Arial" w:hAnsi="Arial" w:cs="Arial"/>
          <w:sz w:val="22"/>
          <w:szCs w:val="22"/>
        </w:rPr>
        <w:t xml:space="preserve">rospekta u </w:t>
      </w:r>
      <w:r w:rsidR="009B4563" w:rsidRPr="00306E1C">
        <w:rPr>
          <w:rFonts w:ascii="Arial" w:hAnsi="Arial" w:cs="Arial"/>
          <w:sz w:val="22"/>
          <w:szCs w:val="22"/>
        </w:rPr>
        <w:t xml:space="preserve">Hrvatskoj </w:t>
      </w:r>
      <w:r w:rsidR="009B4563">
        <w:rPr>
          <w:rFonts w:ascii="Arial" w:hAnsi="Arial" w:cs="Arial"/>
          <w:sz w:val="22"/>
          <w:szCs w:val="22"/>
        </w:rPr>
        <w:t xml:space="preserve">i </w:t>
      </w:r>
      <w:r w:rsidRPr="00306E1C">
        <w:rPr>
          <w:rFonts w:ascii="Arial" w:hAnsi="Arial" w:cs="Arial"/>
          <w:sz w:val="22"/>
          <w:szCs w:val="22"/>
        </w:rPr>
        <w:t>Poljskoj.</w:t>
      </w:r>
    </w:p>
    <w:p w14:paraId="3BDD2B3E" w14:textId="77777777" w:rsidR="00306E1C" w:rsidRDefault="00B04251" w:rsidP="00147BCF">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t xml:space="preserve">Studenac planira tražiti uvrštenje i uvođenje svih dionica </w:t>
      </w:r>
      <w:r w:rsidR="003852B4" w:rsidRPr="00306E1C">
        <w:rPr>
          <w:rFonts w:ascii="Arial" w:hAnsi="Arial" w:cs="Arial"/>
          <w:sz w:val="22"/>
          <w:szCs w:val="22"/>
        </w:rPr>
        <w:t>Društva</w:t>
      </w:r>
      <w:r w:rsidRPr="00306E1C">
        <w:rPr>
          <w:rFonts w:ascii="Arial" w:hAnsi="Arial" w:cs="Arial"/>
          <w:sz w:val="22"/>
          <w:szCs w:val="22"/>
        </w:rPr>
        <w:t xml:space="preserve"> u trgovanje na uređen</w:t>
      </w:r>
      <w:r w:rsidR="007809A1" w:rsidRPr="00306E1C">
        <w:rPr>
          <w:rFonts w:ascii="Arial" w:hAnsi="Arial" w:cs="Arial"/>
          <w:sz w:val="22"/>
          <w:szCs w:val="22"/>
        </w:rPr>
        <w:t>o</w:t>
      </w:r>
      <w:r w:rsidRPr="00306E1C">
        <w:rPr>
          <w:rFonts w:ascii="Arial" w:hAnsi="Arial" w:cs="Arial"/>
          <w:sz w:val="22"/>
          <w:szCs w:val="22"/>
        </w:rPr>
        <w:t>m tržišt</w:t>
      </w:r>
      <w:r w:rsidR="007809A1" w:rsidRPr="00306E1C">
        <w:rPr>
          <w:rFonts w:ascii="Arial" w:hAnsi="Arial" w:cs="Arial"/>
          <w:sz w:val="22"/>
          <w:szCs w:val="22"/>
        </w:rPr>
        <w:t>u</w:t>
      </w:r>
      <w:r w:rsidRPr="00306E1C">
        <w:rPr>
          <w:rFonts w:ascii="Arial" w:hAnsi="Arial" w:cs="Arial"/>
          <w:sz w:val="22"/>
          <w:szCs w:val="22"/>
        </w:rPr>
        <w:t xml:space="preserve"> </w:t>
      </w:r>
      <w:r w:rsidR="007809A1" w:rsidRPr="00306E1C">
        <w:rPr>
          <w:rFonts w:ascii="Arial" w:hAnsi="Arial" w:cs="Arial"/>
          <w:sz w:val="22"/>
          <w:szCs w:val="22"/>
        </w:rPr>
        <w:t xml:space="preserve">Varšavske burze i uvrštenje u trgovanje na uređenom tržištu </w:t>
      </w:r>
      <w:r w:rsidRPr="00306E1C">
        <w:rPr>
          <w:rFonts w:ascii="Arial" w:hAnsi="Arial" w:cs="Arial"/>
          <w:sz w:val="22"/>
          <w:szCs w:val="22"/>
        </w:rPr>
        <w:t xml:space="preserve">Zagrebačke </w:t>
      </w:r>
      <w:r w:rsidR="007809A1" w:rsidRPr="00306E1C">
        <w:rPr>
          <w:rFonts w:ascii="Arial" w:hAnsi="Arial" w:cs="Arial"/>
          <w:sz w:val="22"/>
          <w:szCs w:val="22"/>
        </w:rPr>
        <w:t>burze</w:t>
      </w:r>
      <w:r w:rsidRPr="00306E1C">
        <w:rPr>
          <w:rFonts w:ascii="Arial" w:hAnsi="Arial" w:cs="Arial"/>
          <w:sz w:val="22"/>
          <w:szCs w:val="22"/>
        </w:rPr>
        <w:t>.</w:t>
      </w:r>
    </w:p>
    <w:p w14:paraId="3D5EDF0E" w14:textId="77777777" w:rsidR="00306E1C" w:rsidRDefault="00B04251" w:rsidP="00101AE9">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lastRenderedPageBreak/>
        <w:t>Studenac planira tražiti registraciju ponuđenih dionica u Nacionalnom depozitoriju za vrijednosne papire (Krajowy Depozyt Papierów Wartościowych S.A.), kao primarnom depozitoriju, te u Središnjem klirinškom depozitarnom društvu, kao sekundarnom depozitoriju.</w:t>
      </w:r>
      <w:r w:rsidR="00A510FA" w:rsidRPr="00306E1C">
        <w:rPr>
          <w:rFonts w:ascii="Arial" w:hAnsi="Arial" w:cs="Arial"/>
          <w:sz w:val="22"/>
          <w:szCs w:val="22"/>
        </w:rPr>
        <w:t xml:space="preserve"> </w:t>
      </w:r>
    </w:p>
    <w:p w14:paraId="3346843C" w14:textId="7F6709FC" w:rsidR="00306E1C" w:rsidRPr="00306E1C" w:rsidRDefault="00B04251" w:rsidP="00101AE9">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t xml:space="preserve">Erste Group Bank AG, Erste Securities Polska S.A., Erste&amp;Steiermärkische Bank d.d., Jefferies GmbH, J.P. Morgan SE, Santander Bank Polska S.A. – Santander Biuro Maklerskie i Banco Santander, S.A. djelovat će kao </w:t>
      </w:r>
      <w:r w:rsidR="00F56B12">
        <w:rPr>
          <w:rFonts w:ascii="Arial" w:hAnsi="Arial" w:cs="Arial"/>
          <w:sz w:val="22"/>
          <w:szCs w:val="22"/>
        </w:rPr>
        <w:t>Z</w:t>
      </w:r>
      <w:r w:rsidRPr="00306E1C">
        <w:rPr>
          <w:rFonts w:ascii="Arial" w:hAnsi="Arial" w:cs="Arial"/>
          <w:sz w:val="22"/>
          <w:szCs w:val="22"/>
        </w:rPr>
        <w:t xml:space="preserve">ajednički </w:t>
      </w:r>
      <w:r w:rsidR="00C16EC4">
        <w:rPr>
          <w:rFonts w:ascii="Arial" w:hAnsi="Arial" w:cs="Arial"/>
          <w:sz w:val="22"/>
          <w:szCs w:val="22"/>
        </w:rPr>
        <w:t>G</w:t>
      </w:r>
      <w:r w:rsidR="00C16EC4" w:rsidRPr="00306E1C">
        <w:rPr>
          <w:rFonts w:ascii="Arial" w:hAnsi="Arial" w:cs="Arial"/>
          <w:sz w:val="22"/>
          <w:szCs w:val="22"/>
        </w:rPr>
        <w:t xml:space="preserve">lobalni </w:t>
      </w:r>
      <w:r w:rsidR="00C16EC4">
        <w:rPr>
          <w:rFonts w:ascii="Arial" w:hAnsi="Arial" w:cs="Arial"/>
          <w:sz w:val="22"/>
          <w:szCs w:val="22"/>
        </w:rPr>
        <w:t>K</w:t>
      </w:r>
      <w:r w:rsidR="00C16EC4" w:rsidRPr="00306E1C">
        <w:rPr>
          <w:rFonts w:ascii="Arial" w:hAnsi="Arial" w:cs="Arial"/>
          <w:sz w:val="22"/>
          <w:szCs w:val="22"/>
        </w:rPr>
        <w:t xml:space="preserve">oordinatori </w:t>
      </w:r>
      <w:r w:rsidRPr="00306E1C">
        <w:rPr>
          <w:rFonts w:ascii="Arial" w:hAnsi="Arial" w:cs="Arial"/>
          <w:sz w:val="22"/>
          <w:szCs w:val="22"/>
        </w:rPr>
        <w:t xml:space="preserve">i </w:t>
      </w:r>
      <w:r w:rsidR="00F56B12">
        <w:rPr>
          <w:rFonts w:ascii="Arial" w:hAnsi="Arial" w:cs="Arial"/>
          <w:sz w:val="22"/>
          <w:szCs w:val="22"/>
        </w:rPr>
        <w:t>Z</w:t>
      </w:r>
      <w:r w:rsidRPr="00306E1C">
        <w:rPr>
          <w:rFonts w:ascii="Arial" w:hAnsi="Arial" w:cs="Arial"/>
          <w:sz w:val="22"/>
          <w:szCs w:val="22"/>
        </w:rPr>
        <w:t xml:space="preserve">ajednički </w:t>
      </w:r>
      <w:r w:rsidR="00C16EC4">
        <w:rPr>
          <w:rFonts w:ascii="Arial" w:hAnsi="Arial" w:cs="Arial"/>
          <w:sz w:val="22"/>
          <w:szCs w:val="22"/>
        </w:rPr>
        <w:t>V</w:t>
      </w:r>
      <w:r w:rsidR="00C16EC4" w:rsidRPr="00306E1C">
        <w:rPr>
          <w:rFonts w:ascii="Arial" w:hAnsi="Arial" w:cs="Arial"/>
          <w:sz w:val="22"/>
          <w:szCs w:val="22"/>
        </w:rPr>
        <w:t xml:space="preserve">oditelji </w:t>
      </w:r>
      <w:r w:rsidR="00C16EC4">
        <w:rPr>
          <w:rFonts w:ascii="Arial" w:hAnsi="Arial" w:cs="Arial"/>
          <w:sz w:val="22"/>
          <w:szCs w:val="22"/>
        </w:rPr>
        <w:t>K</w:t>
      </w:r>
      <w:r w:rsidR="00C16EC4" w:rsidRPr="00306E1C">
        <w:rPr>
          <w:rFonts w:ascii="Arial" w:hAnsi="Arial" w:cs="Arial"/>
          <w:sz w:val="22"/>
          <w:szCs w:val="22"/>
        </w:rPr>
        <w:t>njiga</w:t>
      </w:r>
      <w:r w:rsidR="00C16EC4">
        <w:rPr>
          <w:rFonts w:ascii="Arial" w:hAnsi="Arial" w:cs="Arial"/>
          <w:sz w:val="22"/>
          <w:szCs w:val="22"/>
        </w:rPr>
        <w:t xml:space="preserve"> Upisa</w:t>
      </w:r>
      <w:r w:rsidRPr="00306E1C">
        <w:rPr>
          <w:rFonts w:ascii="Arial" w:hAnsi="Arial" w:cs="Arial"/>
          <w:sz w:val="22"/>
          <w:szCs w:val="22"/>
        </w:rPr>
        <w:t>. Santander Bank Polska S.A. – Santander Biuro Maklerskie i Erste&amp;Steiermärkische Bank</w:t>
      </w:r>
      <w:r w:rsidR="00F56B12">
        <w:rPr>
          <w:rFonts w:ascii="Arial" w:hAnsi="Arial" w:cs="Arial"/>
          <w:sz w:val="22"/>
          <w:szCs w:val="22"/>
        </w:rPr>
        <w:t xml:space="preserve"> d.d.</w:t>
      </w:r>
      <w:r w:rsidRPr="00306E1C">
        <w:rPr>
          <w:rFonts w:ascii="Arial" w:hAnsi="Arial" w:cs="Arial"/>
          <w:sz w:val="22"/>
          <w:szCs w:val="22"/>
        </w:rPr>
        <w:t xml:space="preserve"> također će djelovati kao </w:t>
      </w:r>
      <w:r w:rsidR="00C16EC4">
        <w:rPr>
          <w:rFonts w:ascii="Arial" w:hAnsi="Arial" w:cs="Arial"/>
          <w:sz w:val="22"/>
          <w:szCs w:val="22"/>
        </w:rPr>
        <w:t>I</w:t>
      </w:r>
      <w:r w:rsidR="00C16EC4" w:rsidRPr="00306E1C">
        <w:rPr>
          <w:rFonts w:ascii="Arial" w:hAnsi="Arial" w:cs="Arial"/>
          <w:sz w:val="22"/>
          <w:szCs w:val="22"/>
        </w:rPr>
        <w:t xml:space="preserve">nvesticijske </w:t>
      </w:r>
      <w:r w:rsidR="00C16EC4">
        <w:rPr>
          <w:rFonts w:ascii="Arial" w:hAnsi="Arial" w:cs="Arial"/>
          <w:sz w:val="22"/>
          <w:szCs w:val="22"/>
        </w:rPr>
        <w:t>T</w:t>
      </w:r>
      <w:r w:rsidR="00C16EC4" w:rsidRPr="00306E1C">
        <w:rPr>
          <w:rFonts w:ascii="Arial" w:hAnsi="Arial" w:cs="Arial"/>
          <w:sz w:val="22"/>
          <w:szCs w:val="22"/>
        </w:rPr>
        <w:t xml:space="preserve">vrtke </w:t>
      </w:r>
      <w:r w:rsidRPr="00306E1C">
        <w:rPr>
          <w:rFonts w:ascii="Arial" w:hAnsi="Arial" w:cs="Arial"/>
          <w:sz w:val="22"/>
          <w:szCs w:val="22"/>
        </w:rPr>
        <w:t xml:space="preserve">za </w:t>
      </w:r>
      <w:r w:rsidR="009B4563" w:rsidRPr="00306E1C">
        <w:rPr>
          <w:rFonts w:ascii="Arial" w:hAnsi="Arial" w:cs="Arial"/>
          <w:sz w:val="22"/>
          <w:szCs w:val="22"/>
        </w:rPr>
        <w:t xml:space="preserve">Hrvatsku </w:t>
      </w:r>
      <w:r w:rsidR="009B4563">
        <w:rPr>
          <w:rFonts w:ascii="Arial" w:hAnsi="Arial" w:cs="Arial"/>
          <w:sz w:val="22"/>
          <w:szCs w:val="22"/>
        </w:rPr>
        <w:t xml:space="preserve">i </w:t>
      </w:r>
      <w:r w:rsidRPr="00306E1C">
        <w:rPr>
          <w:rFonts w:ascii="Arial" w:hAnsi="Arial" w:cs="Arial"/>
          <w:sz w:val="22"/>
          <w:szCs w:val="22"/>
        </w:rPr>
        <w:t>Poljsku.</w:t>
      </w:r>
    </w:p>
    <w:p w14:paraId="77D2999A" w14:textId="764177D5" w:rsidR="00306E1C" w:rsidRPr="00306E1C" w:rsidRDefault="00306E1C" w:rsidP="009B60B8">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t xml:space="preserve">Erste Group Bank AG će djelovati kao menadžer za stabilizaciju i imat će pravo </w:t>
      </w:r>
      <w:r w:rsidR="00F56B12">
        <w:rPr>
          <w:rFonts w:ascii="Arial" w:hAnsi="Arial" w:cs="Arial"/>
          <w:sz w:val="22"/>
          <w:szCs w:val="22"/>
        </w:rPr>
        <w:t>steći</w:t>
      </w:r>
      <w:r w:rsidR="00F56B12" w:rsidRPr="00306E1C">
        <w:rPr>
          <w:rFonts w:ascii="Arial" w:hAnsi="Arial" w:cs="Arial"/>
          <w:sz w:val="22"/>
          <w:szCs w:val="22"/>
        </w:rPr>
        <w:t xml:space="preserve"> </w:t>
      </w:r>
      <w:r w:rsidRPr="00306E1C">
        <w:rPr>
          <w:rFonts w:ascii="Arial" w:hAnsi="Arial" w:cs="Arial"/>
          <w:sz w:val="22"/>
          <w:szCs w:val="22"/>
        </w:rPr>
        <w:t>dionice na Varšavskoj burzi (WSE) i/ili Zagrebačkoj burzi (ZSE) u ukupnom iznosu koji ne prelazi 10 posto konačnog broja dionica ponuđenih u ponudi kako bi stabilizirao cijenu dionica</w:t>
      </w:r>
      <w:r w:rsidR="00F56B12">
        <w:rPr>
          <w:rFonts w:ascii="Arial" w:hAnsi="Arial" w:cs="Arial"/>
          <w:sz w:val="22"/>
          <w:szCs w:val="22"/>
        </w:rPr>
        <w:t>.</w:t>
      </w:r>
    </w:p>
    <w:p w14:paraId="1553BAA0" w14:textId="29C4ABAD" w:rsidR="00B04251" w:rsidRPr="00306E1C" w:rsidRDefault="00B04251" w:rsidP="00B327BD">
      <w:pPr>
        <w:pStyle w:val="NormalWeb"/>
        <w:numPr>
          <w:ilvl w:val="0"/>
          <w:numId w:val="4"/>
        </w:numPr>
        <w:spacing w:before="0" w:beforeAutospacing="0" w:after="120" w:afterAutospacing="0" w:line="264" w:lineRule="auto"/>
        <w:jc w:val="both"/>
        <w:rPr>
          <w:rFonts w:ascii="Arial" w:hAnsi="Arial" w:cs="Arial"/>
          <w:sz w:val="22"/>
          <w:szCs w:val="22"/>
        </w:rPr>
      </w:pPr>
      <w:r w:rsidRPr="00306E1C">
        <w:rPr>
          <w:rFonts w:ascii="Arial" w:hAnsi="Arial" w:cs="Arial"/>
          <w:sz w:val="22"/>
          <w:szCs w:val="22"/>
        </w:rPr>
        <w:t xml:space="preserve">Članovi Uprave obvezat će se </w:t>
      </w:r>
      <w:r w:rsidR="00C16EC4">
        <w:rPr>
          <w:rFonts w:ascii="Arial" w:hAnsi="Arial" w:cs="Arial"/>
          <w:sz w:val="22"/>
          <w:szCs w:val="22"/>
        </w:rPr>
        <w:t xml:space="preserve">da </w:t>
      </w:r>
      <w:r w:rsidRPr="00306E1C">
        <w:rPr>
          <w:rFonts w:ascii="Arial" w:hAnsi="Arial" w:cs="Arial"/>
          <w:sz w:val="22"/>
          <w:szCs w:val="22"/>
        </w:rPr>
        <w:t>ne</w:t>
      </w:r>
      <w:r w:rsidR="00C16EC4">
        <w:rPr>
          <w:rFonts w:ascii="Arial" w:hAnsi="Arial" w:cs="Arial"/>
          <w:sz w:val="22"/>
          <w:szCs w:val="22"/>
        </w:rPr>
        <w:t>će</w:t>
      </w:r>
      <w:r w:rsidRPr="00306E1C">
        <w:rPr>
          <w:rFonts w:ascii="Arial" w:hAnsi="Arial" w:cs="Arial"/>
          <w:sz w:val="22"/>
          <w:szCs w:val="22"/>
        </w:rPr>
        <w:t xml:space="preserve"> nuditi ili prodavati dionice </w:t>
      </w:r>
      <w:r w:rsidR="003852B4" w:rsidRPr="00306E1C">
        <w:rPr>
          <w:rFonts w:ascii="Arial" w:hAnsi="Arial" w:cs="Arial"/>
          <w:sz w:val="22"/>
          <w:szCs w:val="22"/>
        </w:rPr>
        <w:t>Društva</w:t>
      </w:r>
      <w:r w:rsidRPr="00306E1C">
        <w:rPr>
          <w:rFonts w:ascii="Arial" w:hAnsi="Arial" w:cs="Arial"/>
          <w:sz w:val="22"/>
          <w:szCs w:val="22"/>
        </w:rPr>
        <w:t xml:space="preserve">, uz uobičajene iznimke, tijekom razdoblja od 540 dana nakon prvog uvrštenja dionica </w:t>
      </w:r>
      <w:r w:rsidR="003852B4" w:rsidRPr="00306E1C">
        <w:rPr>
          <w:rFonts w:ascii="Arial" w:hAnsi="Arial" w:cs="Arial"/>
          <w:sz w:val="22"/>
          <w:szCs w:val="22"/>
        </w:rPr>
        <w:t>Društva</w:t>
      </w:r>
      <w:r w:rsidRPr="00306E1C">
        <w:rPr>
          <w:rFonts w:ascii="Arial" w:hAnsi="Arial" w:cs="Arial"/>
          <w:sz w:val="22"/>
          <w:szCs w:val="22"/>
        </w:rPr>
        <w:t xml:space="preserve"> (lock-up). PEF </w:t>
      </w:r>
      <w:r w:rsidR="00036672" w:rsidRPr="00306E1C">
        <w:rPr>
          <w:rFonts w:ascii="Arial" w:hAnsi="Arial" w:cs="Arial"/>
          <w:sz w:val="22"/>
          <w:szCs w:val="22"/>
        </w:rPr>
        <w:t xml:space="preserve">VIII </w:t>
      </w:r>
      <w:r w:rsidRPr="00306E1C">
        <w:rPr>
          <w:rFonts w:ascii="Arial" w:hAnsi="Arial" w:cs="Arial"/>
          <w:sz w:val="22"/>
          <w:szCs w:val="22"/>
        </w:rPr>
        <w:t>će se obvezati na</w:t>
      </w:r>
      <w:r w:rsidR="00FB1D33" w:rsidRPr="00306E1C">
        <w:rPr>
          <w:rFonts w:ascii="Arial" w:hAnsi="Arial" w:cs="Arial"/>
          <w:sz w:val="22"/>
          <w:szCs w:val="22"/>
        </w:rPr>
        <w:t xml:space="preserve"> isto</w:t>
      </w:r>
      <w:r w:rsidRPr="00306E1C">
        <w:rPr>
          <w:rFonts w:ascii="Arial" w:hAnsi="Arial" w:cs="Arial"/>
          <w:sz w:val="22"/>
          <w:szCs w:val="22"/>
        </w:rPr>
        <w:t xml:space="preserve"> u razdoblju od 180 dana, dok će se </w:t>
      </w:r>
      <w:r w:rsidR="003852B4" w:rsidRPr="00306E1C">
        <w:rPr>
          <w:rFonts w:ascii="Arial" w:hAnsi="Arial" w:cs="Arial"/>
          <w:sz w:val="22"/>
          <w:szCs w:val="22"/>
        </w:rPr>
        <w:t>Društvo</w:t>
      </w:r>
      <w:r w:rsidR="006A16B6">
        <w:rPr>
          <w:rFonts w:ascii="Arial" w:hAnsi="Arial" w:cs="Arial"/>
          <w:sz w:val="22"/>
          <w:szCs w:val="22"/>
        </w:rPr>
        <w:t xml:space="preserve">, </w:t>
      </w:r>
      <w:r w:rsidR="006A16B6" w:rsidRPr="006A16B6">
        <w:rPr>
          <w:rFonts w:ascii="Arial" w:hAnsi="Arial" w:cs="Arial"/>
          <w:sz w:val="22"/>
          <w:szCs w:val="22"/>
        </w:rPr>
        <w:t xml:space="preserve">Manjinski </w:t>
      </w:r>
      <w:r w:rsidR="00C16EC4">
        <w:rPr>
          <w:rFonts w:ascii="Arial" w:hAnsi="Arial" w:cs="Arial"/>
          <w:sz w:val="22"/>
          <w:szCs w:val="22"/>
        </w:rPr>
        <w:t>D</w:t>
      </w:r>
      <w:r w:rsidR="00C16EC4" w:rsidRPr="006A16B6">
        <w:rPr>
          <w:rFonts w:ascii="Arial" w:hAnsi="Arial" w:cs="Arial"/>
          <w:sz w:val="22"/>
          <w:szCs w:val="22"/>
        </w:rPr>
        <w:t>ioničari</w:t>
      </w:r>
      <w:r w:rsidR="00C16EC4">
        <w:rPr>
          <w:rFonts w:ascii="Arial" w:hAnsi="Arial" w:cs="Arial"/>
          <w:sz w:val="22"/>
          <w:szCs w:val="22"/>
        </w:rPr>
        <w:t xml:space="preserve"> Prodavatelji </w:t>
      </w:r>
      <w:r w:rsidRPr="00306E1C">
        <w:rPr>
          <w:rFonts w:ascii="Arial" w:hAnsi="Arial" w:cs="Arial"/>
          <w:sz w:val="22"/>
          <w:szCs w:val="22"/>
        </w:rPr>
        <w:t xml:space="preserve">i </w:t>
      </w:r>
      <w:r w:rsidR="00C16EC4">
        <w:rPr>
          <w:rFonts w:ascii="Arial" w:hAnsi="Arial" w:cs="Arial"/>
          <w:sz w:val="22"/>
          <w:szCs w:val="22"/>
        </w:rPr>
        <w:t xml:space="preserve">Ostali </w:t>
      </w:r>
      <w:r w:rsidR="006A16B6" w:rsidRPr="006A16B6">
        <w:rPr>
          <w:rFonts w:ascii="Arial" w:hAnsi="Arial" w:cs="Arial"/>
          <w:sz w:val="22"/>
          <w:szCs w:val="22"/>
        </w:rPr>
        <w:t xml:space="preserve">Manjinski </w:t>
      </w:r>
      <w:r w:rsidR="00C16EC4">
        <w:rPr>
          <w:rFonts w:ascii="Arial" w:hAnsi="Arial" w:cs="Arial"/>
          <w:sz w:val="22"/>
          <w:szCs w:val="22"/>
        </w:rPr>
        <w:t>D</w:t>
      </w:r>
      <w:r w:rsidR="00C16EC4" w:rsidRPr="006A16B6">
        <w:rPr>
          <w:rFonts w:ascii="Arial" w:hAnsi="Arial" w:cs="Arial"/>
          <w:sz w:val="22"/>
          <w:szCs w:val="22"/>
        </w:rPr>
        <w:t>ioničari</w:t>
      </w:r>
      <w:r w:rsidR="00C16EC4">
        <w:rPr>
          <w:rFonts w:ascii="Arial" w:hAnsi="Arial" w:cs="Arial"/>
          <w:sz w:val="22"/>
          <w:szCs w:val="22"/>
        </w:rPr>
        <w:t xml:space="preserve"> </w:t>
      </w:r>
      <w:r w:rsidRPr="00306E1C">
        <w:rPr>
          <w:rFonts w:ascii="Arial" w:hAnsi="Arial" w:cs="Arial"/>
          <w:sz w:val="22"/>
          <w:szCs w:val="22"/>
        </w:rPr>
        <w:t>obvezati na razdoblje od 360 dana.</w:t>
      </w:r>
    </w:p>
    <w:p w14:paraId="44124156" w14:textId="77777777" w:rsidR="00B04251" w:rsidRPr="00981F75" w:rsidRDefault="00B04251" w:rsidP="00B04251">
      <w:pPr>
        <w:pStyle w:val="NormalWeb"/>
        <w:spacing w:before="0" w:beforeAutospacing="0" w:after="120" w:afterAutospacing="0" w:line="264" w:lineRule="auto"/>
        <w:ind w:left="720"/>
        <w:jc w:val="both"/>
        <w:rPr>
          <w:rFonts w:ascii="Arial" w:hAnsi="Arial" w:cs="Arial"/>
          <w:sz w:val="22"/>
          <w:szCs w:val="22"/>
        </w:rPr>
      </w:pPr>
    </w:p>
    <w:p w14:paraId="238D8EBB" w14:textId="194ACDD1" w:rsidR="00DC74D6" w:rsidRPr="00981F75" w:rsidRDefault="0001716D" w:rsidP="009B4563">
      <w:pPr>
        <w:pStyle w:val="NormalWeb"/>
        <w:spacing w:before="0" w:beforeAutospacing="0" w:after="120" w:afterAutospacing="0" w:line="264" w:lineRule="auto"/>
        <w:jc w:val="both"/>
        <w:rPr>
          <w:rFonts w:ascii="Arial" w:hAnsi="Arial" w:cs="Arial"/>
          <w:b/>
          <w:bCs/>
          <w:sz w:val="22"/>
          <w:szCs w:val="22"/>
        </w:rPr>
      </w:pPr>
      <w:r w:rsidRPr="00981F75">
        <w:rPr>
          <w:rFonts w:ascii="Arial" w:hAnsi="Arial" w:cs="Arial"/>
          <w:b/>
          <w:bCs/>
          <w:sz w:val="22"/>
          <w:szCs w:val="22"/>
        </w:rPr>
        <w:t>Ključne informacije o Studencu i njegovim kompetitivnim prednostima</w:t>
      </w:r>
      <w:r w:rsidR="00FB2F57" w:rsidRPr="00981F75">
        <w:rPr>
          <w:rFonts w:ascii="Arial" w:hAnsi="Arial" w:cs="Arial"/>
          <w:b/>
          <w:bCs/>
          <w:sz w:val="22"/>
          <w:szCs w:val="22"/>
        </w:rPr>
        <w:t xml:space="preserve">: </w:t>
      </w:r>
    </w:p>
    <w:p w14:paraId="2F3B16B5" w14:textId="6CE4B010" w:rsidR="0001716D" w:rsidRPr="00981F75" w:rsidRDefault="0001716D" w:rsidP="00F16B8C">
      <w:pPr>
        <w:pStyle w:val="NormalWeb"/>
        <w:numPr>
          <w:ilvl w:val="0"/>
          <w:numId w:val="5"/>
        </w:numPr>
        <w:spacing w:before="0" w:beforeAutospacing="0" w:after="120" w:afterAutospacing="0" w:line="264" w:lineRule="auto"/>
        <w:jc w:val="both"/>
        <w:rPr>
          <w:rFonts w:ascii="Arial" w:hAnsi="Arial" w:cs="Arial"/>
          <w:i/>
          <w:iCs/>
          <w:sz w:val="22"/>
          <w:szCs w:val="22"/>
          <w:u w:val="single"/>
        </w:rPr>
      </w:pPr>
      <w:r w:rsidRPr="00981F75">
        <w:rPr>
          <w:rFonts w:ascii="Arial" w:hAnsi="Arial" w:cs="Arial"/>
          <w:i/>
          <w:iCs/>
          <w:sz w:val="22"/>
          <w:szCs w:val="22"/>
          <w:u w:val="single"/>
        </w:rPr>
        <w:t>#1 mreža trgovina u Hrvatskoj s dokazanim poslovnim modelom kojeg karakterizira jedinstven 'proximity' format</w:t>
      </w:r>
    </w:p>
    <w:p w14:paraId="5A50F6ED" w14:textId="78FAD041" w:rsidR="0001716D" w:rsidRPr="00981F75" w:rsidRDefault="0001716D" w:rsidP="0001716D">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je najbrže rastući maloprodajni lanac u Hrvatskoj prema prihodima u posljednjih pet godina. </w:t>
      </w:r>
      <w:r w:rsidR="00FB1D33" w:rsidRPr="00981F75">
        <w:rPr>
          <w:rFonts w:ascii="Arial" w:hAnsi="Arial" w:cs="Arial"/>
          <w:sz w:val="22"/>
          <w:szCs w:val="22"/>
        </w:rPr>
        <w:t>M</w:t>
      </w:r>
      <w:r w:rsidRPr="00981F75">
        <w:rPr>
          <w:rFonts w:ascii="Arial" w:hAnsi="Arial" w:cs="Arial"/>
          <w:sz w:val="22"/>
          <w:szCs w:val="22"/>
        </w:rPr>
        <w:t>režu Studenca čine 1</w:t>
      </w:r>
      <w:r w:rsidR="007871B4">
        <w:rPr>
          <w:rFonts w:ascii="Arial" w:hAnsi="Arial" w:cs="Arial"/>
          <w:sz w:val="22"/>
          <w:szCs w:val="22"/>
        </w:rPr>
        <w:t>.</w:t>
      </w:r>
      <w:r w:rsidRPr="00981F75">
        <w:rPr>
          <w:rFonts w:ascii="Arial" w:hAnsi="Arial" w:cs="Arial"/>
          <w:sz w:val="22"/>
          <w:szCs w:val="22"/>
        </w:rPr>
        <w:t>404 trgovine</w:t>
      </w:r>
      <w:r w:rsidR="00FB1D33" w:rsidRPr="00981F75">
        <w:rPr>
          <w:rFonts w:ascii="Arial" w:hAnsi="Arial" w:cs="Arial"/>
          <w:sz w:val="22"/>
          <w:szCs w:val="22"/>
        </w:rPr>
        <w:t xml:space="preserve"> zaključno s 30. rujnom 2024. godine</w:t>
      </w:r>
      <w:r w:rsidR="003C1906">
        <w:rPr>
          <w:rFonts w:ascii="Arial" w:hAnsi="Arial" w:cs="Arial"/>
          <w:sz w:val="22"/>
          <w:szCs w:val="22"/>
        </w:rPr>
        <w:t>,</w:t>
      </w:r>
      <w:r w:rsidR="00FB1D33" w:rsidRPr="00981F75">
        <w:rPr>
          <w:rFonts w:ascii="Arial" w:hAnsi="Arial" w:cs="Arial"/>
          <w:sz w:val="22"/>
          <w:szCs w:val="22"/>
        </w:rPr>
        <w:t xml:space="preserve"> </w:t>
      </w:r>
      <w:r w:rsidRPr="00981F75">
        <w:rPr>
          <w:rFonts w:ascii="Arial" w:hAnsi="Arial" w:cs="Arial"/>
          <w:sz w:val="22"/>
          <w:szCs w:val="22"/>
        </w:rPr>
        <w:t>uključuj</w:t>
      </w:r>
      <w:r w:rsidR="003C1906">
        <w:rPr>
          <w:rFonts w:ascii="Arial" w:hAnsi="Arial" w:cs="Arial"/>
          <w:sz w:val="22"/>
          <w:szCs w:val="22"/>
        </w:rPr>
        <w:t xml:space="preserve">ući </w:t>
      </w:r>
      <w:r w:rsidRPr="00981F75">
        <w:rPr>
          <w:rFonts w:ascii="Arial" w:hAnsi="Arial" w:cs="Arial"/>
          <w:sz w:val="22"/>
          <w:szCs w:val="22"/>
        </w:rPr>
        <w:t>1</w:t>
      </w:r>
      <w:r w:rsidR="007871B4">
        <w:rPr>
          <w:rFonts w:ascii="Arial" w:hAnsi="Arial" w:cs="Arial"/>
          <w:sz w:val="22"/>
          <w:szCs w:val="22"/>
        </w:rPr>
        <w:t>.</w:t>
      </w:r>
      <w:r w:rsidRPr="00981F75">
        <w:rPr>
          <w:rFonts w:ascii="Arial" w:hAnsi="Arial" w:cs="Arial"/>
          <w:sz w:val="22"/>
          <w:szCs w:val="22"/>
        </w:rPr>
        <w:t xml:space="preserve">372 </w:t>
      </w:r>
      <w:r w:rsidR="00FB1D33" w:rsidRPr="00981F75">
        <w:rPr>
          <w:rFonts w:ascii="Arial" w:hAnsi="Arial" w:cs="Arial"/>
          <w:sz w:val="22"/>
          <w:szCs w:val="22"/>
        </w:rPr>
        <w:t xml:space="preserve">trgovine </w:t>
      </w:r>
      <w:r w:rsidRPr="00981F75">
        <w:rPr>
          <w:rFonts w:ascii="Arial" w:hAnsi="Arial" w:cs="Arial"/>
          <w:sz w:val="22"/>
          <w:szCs w:val="22"/>
        </w:rPr>
        <w:t xml:space="preserve">u Hrvatskoj </w:t>
      </w:r>
      <w:r w:rsidR="00FB1D33" w:rsidRPr="00981F75">
        <w:rPr>
          <w:rFonts w:ascii="Arial" w:hAnsi="Arial" w:cs="Arial"/>
          <w:sz w:val="22"/>
          <w:szCs w:val="22"/>
        </w:rPr>
        <w:t xml:space="preserve">po čemu je Studenac lanac s najvećom </w:t>
      </w:r>
      <w:r w:rsidRPr="00981F75">
        <w:rPr>
          <w:rFonts w:ascii="Arial" w:hAnsi="Arial" w:cs="Arial"/>
          <w:sz w:val="22"/>
          <w:szCs w:val="22"/>
        </w:rPr>
        <w:t>maloprodajn</w:t>
      </w:r>
      <w:r w:rsidR="00FB1D33" w:rsidRPr="00981F75">
        <w:rPr>
          <w:rFonts w:ascii="Arial" w:hAnsi="Arial" w:cs="Arial"/>
          <w:sz w:val="22"/>
          <w:szCs w:val="22"/>
        </w:rPr>
        <w:t>om</w:t>
      </w:r>
      <w:r w:rsidRPr="00981F75">
        <w:rPr>
          <w:rFonts w:ascii="Arial" w:hAnsi="Arial" w:cs="Arial"/>
          <w:sz w:val="22"/>
          <w:szCs w:val="22"/>
        </w:rPr>
        <w:t xml:space="preserve"> mrež</w:t>
      </w:r>
      <w:r w:rsidR="00FB1D33" w:rsidRPr="00981F75">
        <w:rPr>
          <w:rFonts w:ascii="Arial" w:hAnsi="Arial" w:cs="Arial"/>
          <w:sz w:val="22"/>
          <w:szCs w:val="22"/>
        </w:rPr>
        <w:t xml:space="preserve">om </w:t>
      </w:r>
      <w:r w:rsidRPr="00981F75">
        <w:rPr>
          <w:rFonts w:ascii="Arial" w:hAnsi="Arial" w:cs="Arial"/>
          <w:sz w:val="22"/>
          <w:szCs w:val="22"/>
        </w:rPr>
        <w:t xml:space="preserve">u </w:t>
      </w:r>
      <w:r w:rsidR="003C1906">
        <w:rPr>
          <w:rFonts w:ascii="Arial" w:hAnsi="Arial" w:cs="Arial"/>
          <w:sz w:val="22"/>
          <w:szCs w:val="22"/>
        </w:rPr>
        <w:t>državi</w:t>
      </w:r>
      <w:r w:rsidRPr="00981F75">
        <w:rPr>
          <w:rFonts w:ascii="Arial" w:hAnsi="Arial" w:cs="Arial"/>
          <w:sz w:val="22"/>
          <w:szCs w:val="22"/>
        </w:rPr>
        <w:t xml:space="preserve">, te 32 trgovine u Sloveniji nakon ulaska na to tržište u 2024. akvizicijom </w:t>
      </w:r>
      <w:r w:rsidR="007871B4">
        <w:rPr>
          <w:rFonts w:ascii="Arial" w:hAnsi="Arial" w:cs="Arial"/>
          <w:sz w:val="22"/>
          <w:szCs w:val="22"/>
        </w:rPr>
        <w:t xml:space="preserve">prodajnog </w:t>
      </w:r>
      <w:r w:rsidRPr="00981F75">
        <w:rPr>
          <w:rFonts w:ascii="Arial" w:hAnsi="Arial" w:cs="Arial"/>
          <w:sz w:val="22"/>
          <w:szCs w:val="22"/>
        </w:rPr>
        <w:t xml:space="preserve">lanca Kea. </w:t>
      </w:r>
    </w:p>
    <w:p w14:paraId="17821A1B" w14:textId="5849E61A" w:rsidR="0001716D" w:rsidRPr="00981F75" w:rsidRDefault="0001716D" w:rsidP="0001716D">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Studen</w:t>
      </w:r>
      <w:r w:rsidR="007871B4">
        <w:rPr>
          <w:rFonts w:ascii="Arial" w:hAnsi="Arial" w:cs="Arial"/>
          <w:sz w:val="22"/>
          <w:szCs w:val="22"/>
        </w:rPr>
        <w:t>a</w:t>
      </w:r>
      <w:r w:rsidRPr="00981F75">
        <w:rPr>
          <w:rFonts w:ascii="Arial" w:hAnsi="Arial" w:cs="Arial"/>
          <w:sz w:val="22"/>
          <w:szCs w:val="22"/>
        </w:rPr>
        <w:t xml:space="preserve">c </w:t>
      </w:r>
      <w:r w:rsidR="007871B4">
        <w:rPr>
          <w:rFonts w:ascii="Arial" w:hAnsi="Arial" w:cs="Arial"/>
          <w:sz w:val="22"/>
          <w:szCs w:val="22"/>
        </w:rPr>
        <w:t xml:space="preserve">djeluje kroz trgovine </w:t>
      </w:r>
      <w:r w:rsidRPr="00981F75">
        <w:rPr>
          <w:rFonts w:ascii="Arial" w:hAnsi="Arial" w:cs="Arial"/>
          <w:sz w:val="22"/>
          <w:szCs w:val="22"/>
        </w:rPr>
        <w:t>takozvanog '</w:t>
      </w:r>
      <w:proofErr w:type="spellStart"/>
      <w:r w:rsidRPr="00981F75">
        <w:rPr>
          <w:rFonts w:ascii="Arial" w:hAnsi="Arial" w:cs="Arial"/>
          <w:sz w:val="22"/>
          <w:szCs w:val="22"/>
        </w:rPr>
        <w:t>proximity</w:t>
      </w:r>
      <w:proofErr w:type="spellEnd"/>
      <w:r w:rsidRPr="00981F75">
        <w:rPr>
          <w:rFonts w:ascii="Arial" w:hAnsi="Arial" w:cs="Arial"/>
          <w:sz w:val="22"/>
          <w:szCs w:val="22"/>
        </w:rPr>
        <w:t xml:space="preserve">' modela, što znači da su strateški pozicionirane u blizini kupaca i prilagođene specifičnim potrebama obližnje zajednice te lokalnim uvjetima (npr. </w:t>
      </w:r>
      <w:r w:rsidR="007871B4">
        <w:rPr>
          <w:rFonts w:ascii="Arial" w:hAnsi="Arial" w:cs="Arial"/>
          <w:sz w:val="22"/>
          <w:szCs w:val="22"/>
        </w:rPr>
        <w:t>razina posjećenosti kupaca</w:t>
      </w:r>
      <w:r w:rsidRPr="00981F75">
        <w:rPr>
          <w:rFonts w:ascii="Arial" w:hAnsi="Arial" w:cs="Arial"/>
          <w:sz w:val="22"/>
          <w:szCs w:val="22"/>
        </w:rPr>
        <w:t xml:space="preserve">, turistička ponuda). Trgovine Studenca obično </w:t>
      </w:r>
      <w:r w:rsidR="00805867">
        <w:rPr>
          <w:rFonts w:ascii="Arial" w:hAnsi="Arial" w:cs="Arial"/>
          <w:sz w:val="22"/>
          <w:szCs w:val="22"/>
        </w:rPr>
        <w:t xml:space="preserve">se nalaze </w:t>
      </w:r>
      <w:r w:rsidRPr="00981F75">
        <w:rPr>
          <w:rFonts w:ascii="Arial" w:hAnsi="Arial" w:cs="Arial"/>
          <w:sz w:val="22"/>
          <w:szCs w:val="22"/>
        </w:rPr>
        <w:t xml:space="preserve">bliže kupcima i na </w:t>
      </w:r>
      <w:r w:rsidR="00805867">
        <w:rPr>
          <w:rFonts w:ascii="Arial" w:hAnsi="Arial" w:cs="Arial"/>
          <w:sz w:val="22"/>
          <w:szCs w:val="22"/>
        </w:rPr>
        <w:t xml:space="preserve">pogodnijim </w:t>
      </w:r>
      <w:r w:rsidRPr="00981F75">
        <w:rPr>
          <w:rFonts w:ascii="Arial" w:hAnsi="Arial" w:cs="Arial"/>
          <w:sz w:val="22"/>
          <w:szCs w:val="22"/>
        </w:rPr>
        <w:t xml:space="preserve">lokacijama u odnosu na konkurenciju. Oko 71 posto kupaca Studenca </w:t>
      </w:r>
      <w:r w:rsidR="00805867">
        <w:rPr>
          <w:rFonts w:ascii="Arial" w:hAnsi="Arial" w:cs="Arial"/>
          <w:sz w:val="22"/>
          <w:szCs w:val="22"/>
        </w:rPr>
        <w:t xml:space="preserve">dolaze do trgovine </w:t>
      </w:r>
      <w:r w:rsidRPr="00981F75">
        <w:rPr>
          <w:rFonts w:ascii="Arial" w:hAnsi="Arial" w:cs="Arial"/>
          <w:sz w:val="22"/>
          <w:szCs w:val="22"/>
        </w:rPr>
        <w:t xml:space="preserve">u manje od pet minuta </w:t>
      </w:r>
      <w:r w:rsidR="00805867">
        <w:rPr>
          <w:rFonts w:ascii="Arial" w:hAnsi="Arial" w:cs="Arial"/>
          <w:sz w:val="22"/>
          <w:szCs w:val="22"/>
        </w:rPr>
        <w:t>(</w:t>
      </w:r>
      <w:r w:rsidRPr="00981F75">
        <w:rPr>
          <w:rFonts w:ascii="Arial" w:hAnsi="Arial" w:cs="Arial"/>
          <w:sz w:val="22"/>
          <w:szCs w:val="22"/>
        </w:rPr>
        <w:t xml:space="preserve">znatno </w:t>
      </w:r>
      <w:r w:rsidR="00805867">
        <w:rPr>
          <w:rFonts w:ascii="Arial" w:hAnsi="Arial" w:cs="Arial"/>
          <w:sz w:val="22"/>
          <w:szCs w:val="22"/>
        </w:rPr>
        <w:t xml:space="preserve">kraće u usporedbi s </w:t>
      </w:r>
      <w:r w:rsidR="00805867" w:rsidRPr="00981F75">
        <w:rPr>
          <w:rFonts w:ascii="Arial" w:hAnsi="Arial" w:cs="Arial"/>
          <w:sz w:val="22"/>
          <w:szCs w:val="22"/>
        </w:rPr>
        <w:t>konkurencij</w:t>
      </w:r>
      <w:r w:rsidR="00805867">
        <w:rPr>
          <w:rFonts w:ascii="Arial" w:hAnsi="Arial" w:cs="Arial"/>
          <w:sz w:val="22"/>
          <w:szCs w:val="22"/>
        </w:rPr>
        <w:t>om)</w:t>
      </w:r>
      <w:r w:rsidR="00F81097" w:rsidRPr="00981F75">
        <w:rPr>
          <w:rFonts w:ascii="Arial" w:hAnsi="Arial" w:cs="Arial"/>
          <w:sz w:val="22"/>
          <w:szCs w:val="22"/>
        </w:rPr>
        <w:t xml:space="preserve">, </w:t>
      </w:r>
      <w:r w:rsidR="00805867">
        <w:rPr>
          <w:rFonts w:ascii="Arial" w:hAnsi="Arial" w:cs="Arial"/>
          <w:sz w:val="22"/>
          <w:szCs w:val="22"/>
        </w:rPr>
        <w:t xml:space="preserve">dok </w:t>
      </w:r>
      <w:r w:rsidR="00F81097" w:rsidRPr="00981F75">
        <w:rPr>
          <w:rFonts w:ascii="Arial" w:hAnsi="Arial" w:cs="Arial"/>
          <w:sz w:val="22"/>
          <w:szCs w:val="22"/>
        </w:rPr>
        <w:t>v</w:t>
      </w:r>
      <w:r w:rsidRPr="00981F75">
        <w:rPr>
          <w:rFonts w:ascii="Arial" w:hAnsi="Arial" w:cs="Arial"/>
          <w:sz w:val="22"/>
          <w:szCs w:val="22"/>
        </w:rPr>
        <w:t>elik dio kupaca dolazi pješice.</w:t>
      </w:r>
    </w:p>
    <w:p w14:paraId="11E631EA" w14:textId="2050BC1F" w:rsidR="00F81097" w:rsidRPr="00981F75" w:rsidRDefault="00F81097" w:rsidP="0001716D">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Trgovine Studenca usmjerene su na ponudu "I sitno i bitno" koja omogućuje brzu i kvalitetnu kupnju koja zadovoljava sve svakodnevne potrebe kupaca.</w:t>
      </w:r>
    </w:p>
    <w:p w14:paraId="45EEDCBA" w14:textId="6771ECE9" w:rsidR="00F81097" w:rsidRPr="00981F75" w:rsidRDefault="00F81097" w:rsidP="0001716D">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w:t>
      </w:r>
      <w:r w:rsidR="009E3668">
        <w:rPr>
          <w:rFonts w:ascii="Arial" w:hAnsi="Arial" w:cs="Arial"/>
          <w:sz w:val="22"/>
          <w:szCs w:val="22"/>
        </w:rPr>
        <w:t>ima</w:t>
      </w:r>
      <w:r w:rsidRPr="00981F75">
        <w:rPr>
          <w:rFonts w:ascii="Arial" w:hAnsi="Arial" w:cs="Arial"/>
          <w:sz w:val="22"/>
          <w:szCs w:val="22"/>
        </w:rPr>
        <w:t xml:space="preserve"> jedinstvenu mrežu trgovina istog formata koje su integrirane i posluju </w:t>
      </w:r>
      <w:r w:rsidR="00EC04C3">
        <w:rPr>
          <w:rFonts w:ascii="Arial" w:hAnsi="Arial" w:cs="Arial"/>
          <w:sz w:val="22"/>
          <w:szCs w:val="22"/>
        </w:rPr>
        <w:t xml:space="preserve">uglavnom </w:t>
      </w:r>
      <w:r w:rsidRPr="00981F75">
        <w:rPr>
          <w:rFonts w:ascii="Arial" w:hAnsi="Arial" w:cs="Arial"/>
          <w:sz w:val="22"/>
          <w:szCs w:val="22"/>
        </w:rPr>
        <w:t>pod jednakim brendom, s prosječnom prodajnom površinom od 111 četvornih metara. U trgovinama Studenca dostupno je između 2</w:t>
      </w:r>
      <w:r w:rsidR="00805867">
        <w:rPr>
          <w:rFonts w:ascii="Arial" w:hAnsi="Arial" w:cs="Arial"/>
          <w:sz w:val="22"/>
          <w:szCs w:val="22"/>
        </w:rPr>
        <w:t>.</w:t>
      </w:r>
      <w:r w:rsidRPr="00981F75">
        <w:rPr>
          <w:rFonts w:ascii="Arial" w:hAnsi="Arial" w:cs="Arial"/>
          <w:sz w:val="22"/>
          <w:szCs w:val="22"/>
        </w:rPr>
        <w:t>000 i 4</w:t>
      </w:r>
      <w:r w:rsidR="00805867">
        <w:rPr>
          <w:rFonts w:ascii="Arial" w:hAnsi="Arial" w:cs="Arial"/>
          <w:sz w:val="22"/>
          <w:szCs w:val="22"/>
        </w:rPr>
        <w:t>.</w:t>
      </w:r>
      <w:r w:rsidRPr="00981F75">
        <w:rPr>
          <w:rFonts w:ascii="Arial" w:hAnsi="Arial" w:cs="Arial"/>
          <w:sz w:val="22"/>
          <w:szCs w:val="22"/>
        </w:rPr>
        <w:t xml:space="preserve">000 </w:t>
      </w:r>
      <w:r w:rsidR="00805867">
        <w:rPr>
          <w:rFonts w:ascii="Arial" w:hAnsi="Arial" w:cs="Arial"/>
          <w:sz w:val="22"/>
          <w:szCs w:val="22"/>
        </w:rPr>
        <w:t xml:space="preserve">individualnih </w:t>
      </w:r>
      <w:r w:rsidRPr="00981F75">
        <w:rPr>
          <w:rFonts w:ascii="Arial" w:hAnsi="Arial" w:cs="Arial"/>
          <w:sz w:val="22"/>
          <w:szCs w:val="22"/>
        </w:rPr>
        <w:t>proizvoda</w:t>
      </w:r>
      <w:r w:rsidR="00805867">
        <w:rPr>
          <w:rFonts w:ascii="Arial" w:hAnsi="Arial" w:cs="Arial"/>
          <w:sz w:val="22"/>
          <w:szCs w:val="22"/>
        </w:rPr>
        <w:t xml:space="preserve"> poznatih ili privatnih robnih marki</w:t>
      </w:r>
      <w:r w:rsidRPr="00981F75">
        <w:rPr>
          <w:rFonts w:ascii="Arial" w:hAnsi="Arial" w:cs="Arial"/>
          <w:sz w:val="22"/>
          <w:szCs w:val="22"/>
        </w:rPr>
        <w:t>, asortiman „to go“ proizvoda te određen</w:t>
      </w:r>
      <w:r w:rsidR="00AE3380">
        <w:rPr>
          <w:rFonts w:ascii="Arial" w:hAnsi="Arial" w:cs="Arial"/>
          <w:sz w:val="22"/>
          <w:szCs w:val="22"/>
        </w:rPr>
        <w:t>e</w:t>
      </w:r>
      <w:r w:rsidRPr="00981F75">
        <w:rPr>
          <w:rFonts w:ascii="Arial" w:hAnsi="Arial" w:cs="Arial"/>
          <w:sz w:val="22"/>
          <w:szCs w:val="22"/>
        </w:rPr>
        <w:t xml:space="preserve"> dodatn</w:t>
      </w:r>
      <w:r w:rsidR="00AE3380">
        <w:rPr>
          <w:rFonts w:ascii="Arial" w:hAnsi="Arial" w:cs="Arial"/>
          <w:sz w:val="22"/>
          <w:szCs w:val="22"/>
        </w:rPr>
        <w:t>e</w:t>
      </w:r>
      <w:r w:rsidRPr="00981F75">
        <w:rPr>
          <w:rFonts w:ascii="Arial" w:hAnsi="Arial" w:cs="Arial"/>
          <w:sz w:val="22"/>
          <w:szCs w:val="22"/>
        </w:rPr>
        <w:t xml:space="preserve"> uslug</w:t>
      </w:r>
      <w:r w:rsidR="00AE3380">
        <w:rPr>
          <w:rFonts w:ascii="Arial" w:hAnsi="Arial" w:cs="Arial"/>
          <w:sz w:val="22"/>
          <w:szCs w:val="22"/>
        </w:rPr>
        <w:t>e</w:t>
      </w:r>
      <w:r w:rsidRPr="00981F75">
        <w:rPr>
          <w:rFonts w:ascii="Arial" w:hAnsi="Arial" w:cs="Arial"/>
          <w:sz w:val="22"/>
          <w:szCs w:val="22"/>
        </w:rPr>
        <w:t xml:space="preserve">. </w:t>
      </w:r>
      <w:r w:rsidR="00BB3F6B">
        <w:rPr>
          <w:rFonts w:ascii="Arial" w:hAnsi="Arial" w:cs="Arial"/>
          <w:sz w:val="22"/>
          <w:szCs w:val="22"/>
        </w:rPr>
        <w:t xml:space="preserve">Privlačan </w:t>
      </w:r>
      <w:r w:rsidRPr="00981F75">
        <w:rPr>
          <w:rFonts w:ascii="Arial" w:hAnsi="Arial" w:cs="Arial"/>
          <w:sz w:val="22"/>
          <w:szCs w:val="22"/>
        </w:rPr>
        <w:t xml:space="preserve">je kupcima zahvaljujući svojoj ponudi za svakodnevnu kupnju </w:t>
      </w:r>
      <w:r w:rsidR="00BB3F6B">
        <w:rPr>
          <w:rFonts w:ascii="Arial" w:hAnsi="Arial" w:cs="Arial"/>
          <w:sz w:val="22"/>
          <w:szCs w:val="22"/>
        </w:rPr>
        <w:t xml:space="preserve">dostupnu </w:t>
      </w:r>
      <w:r w:rsidRPr="00981F75">
        <w:rPr>
          <w:rFonts w:ascii="Arial" w:hAnsi="Arial" w:cs="Arial"/>
          <w:sz w:val="22"/>
          <w:szCs w:val="22"/>
        </w:rPr>
        <w:t xml:space="preserve">u </w:t>
      </w:r>
      <w:r w:rsidR="00BB3F6B">
        <w:rPr>
          <w:rFonts w:ascii="Arial" w:hAnsi="Arial" w:cs="Arial"/>
          <w:sz w:val="22"/>
          <w:szCs w:val="22"/>
        </w:rPr>
        <w:t xml:space="preserve">neposrednoj </w:t>
      </w:r>
      <w:r w:rsidRPr="00981F75">
        <w:rPr>
          <w:rFonts w:ascii="Arial" w:hAnsi="Arial" w:cs="Arial"/>
          <w:sz w:val="22"/>
          <w:szCs w:val="22"/>
        </w:rPr>
        <w:t xml:space="preserve">blizini, sa </w:t>
      </w:r>
      <w:r w:rsidRPr="00981F75">
        <w:rPr>
          <w:rFonts w:ascii="Arial" w:hAnsi="Arial" w:cs="Arial"/>
          <w:sz w:val="22"/>
          <w:szCs w:val="22"/>
        </w:rPr>
        <w:lastRenderedPageBreak/>
        <w:t>širokim asortimanom proizvoda koji zadovoljava</w:t>
      </w:r>
      <w:r w:rsidR="00BB3F6B">
        <w:rPr>
          <w:rFonts w:ascii="Arial" w:hAnsi="Arial" w:cs="Arial"/>
          <w:sz w:val="22"/>
          <w:szCs w:val="22"/>
        </w:rPr>
        <w:t>ju</w:t>
      </w:r>
      <w:r w:rsidRPr="00981F75">
        <w:rPr>
          <w:rFonts w:ascii="Arial" w:hAnsi="Arial" w:cs="Arial"/>
          <w:sz w:val="22"/>
          <w:szCs w:val="22"/>
        </w:rPr>
        <w:t xml:space="preserve"> dnevne potrebe kupaca, uključujući i izbor svježih proizvoda. Za razliku od trgovina većih formata, u Studencu su usmjereni na manje kupnje </w:t>
      </w:r>
      <w:r w:rsidR="00BB3F6B">
        <w:rPr>
          <w:rFonts w:ascii="Arial" w:hAnsi="Arial" w:cs="Arial"/>
          <w:sz w:val="22"/>
          <w:szCs w:val="22"/>
        </w:rPr>
        <w:t xml:space="preserve">lokalnih kupaca </w:t>
      </w:r>
      <w:r w:rsidRPr="00981F75">
        <w:rPr>
          <w:rFonts w:ascii="Arial" w:hAnsi="Arial" w:cs="Arial"/>
          <w:sz w:val="22"/>
          <w:szCs w:val="22"/>
        </w:rPr>
        <w:t xml:space="preserve">i </w:t>
      </w:r>
      <w:r w:rsidR="00BB3F6B" w:rsidRPr="00981F75">
        <w:rPr>
          <w:rFonts w:ascii="Arial" w:hAnsi="Arial" w:cs="Arial"/>
          <w:sz w:val="22"/>
          <w:szCs w:val="22"/>
        </w:rPr>
        <w:t>turist</w:t>
      </w:r>
      <w:r w:rsidR="00BB3F6B">
        <w:rPr>
          <w:rFonts w:ascii="Arial" w:hAnsi="Arial" w:cs="Arial"/>
          <w:sz w:val="22"/>
          <w:szCs w:val="22"/>
        </w:rPr>
        <w:t>a</w:t>
      </w:r>
      <w:r w:rsidRPr="00981F75">
        <w:rPr>
          <w:rFonts w:ascii="Arial" w:hAnsi="Arial" w:cs="Arial"/>
          <w:sz w:val="22"/>
          <w:szCs w:val="22"/>
        </w:rPr>
        <w:t>, a mogu se sažeti u koncept „hrana za danas, hrana za sutra“.</w:t>
      </w:r>
    </w:p>
    <w:p w14:paraId="7056266A" w14:textId="77777777" w:rsidR="00DC74D6" w:rsidRPr="00981F75" w:rsidRDefault="00DC74D6" w:rsidP="00C47B26">
      <w:pPr>
        <w:pStyle w:val="NormalWeb"/>
        <w:spacing w:before="0" w:beforeAutospacing="0" w:after="120" w:afterAutospacing="0" w:line="264" w:lineRule="auto"/>
        <w:jc w:val="both"/>
        <w:rPr>
          <w:rFonts w:ascii="Arial" w:hAnsi="Arial" w:cs="Arial"/>
          <w:sz w:val="22"/>
          <w:szCs w:val="22"/>
        </w:rPr>
      </w:pPr>
    </w:p>
    <w:p w14:paraId="4DE54AF6" w14:textId="175DF45D" w:rsidR="00504F56" w:rsidRPr="00981F75" w:rsidRDefault="00504F56" w:rsidP="00F16B8C">
      <w:pPr>
        <w:pStyle w:val="NormalWeb"/>
        <w:numPr>
          <w:ilvl w:val="0"/>
          <w:numId w:val="5"/>
        </w:numPr>
        <w:spacing w:before="0" w:beforeAutospacing="0" w:after="120" w:afterAutospacing="0" w:line="264" w:lineRule="auto"/>
        <w:jc w:val="both"/>
        <w:rPr>
          <w:rFonts w:ascii="Arial" w:hAnsi="Arial" w:cs="Arial"/>
          <w:i/>
          <w:iCs/>
          <w:sz w:val="22"/>
          <w:szCs w:val="22"/>
          <w:u w:val="single"/>
        </w:rPr>
      </w:pPr>
      <w:r w:rsidRPr="00981F75">
        <w:rPr>
          <w:rFonts w:ascii="Arial" w:hAnsi="Arial" w:cs="Arial"/>
          <w:i/>
          <w:iCs/>
          <w:sz w:val="22"/>
          <w:szCs w:val="22"/>
          <w:u w:val="single"/>
        </w:rPr>
        <w:t>Atraktivna, brzorastuća maloprodajna tržišta u Hrvatskoj i Sloveniji</w:t>
      </w:r>
    </w:p>
    <w:p w14:paraId="1BEC2BEC" w14:textId="41574F29" w:rsidR="00FC7AC7" w:rsidRPr="00981F75" w:rsidRDefault="00FC7AC7"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Studenac primarno posluje u sektoru maloprodaje koji je u Hrvatskoj vrijedan 10,2 milijarde eura zaključno s 2023., a</w:t>
      </w:r>
      <w:r w:rsidR="00981F75">
        <w:rPr>
          <w:rFonts w:ascii="Arial" w:hAnsi="Arial" w:cs="Arial"/>
          <w:sz w:val="22"/>
          <w:szCs w:val="22"/>
        </w:rPr>
        <w:t xml:space="preserve"> </w:t>
      </w:r>
      <w:r w:rsidRPr="00981F75">
        <w:rPr>
          <w:rFonts w:ascii="Arial" w:hAnsi="Arial" w:cs="Arial"/>
          <w:sz w:val="22"/>
          <w:szCs w:val="22"/>
        </w:rPr>
        <w:t xml:space="preserve">od 2018. do 2023. godine je rastao </w:t>
      </w:r>
      <w:r w:rsidR="00BB3F6B">
        <w:rPr>
          <w:rFonts w:ascii="Arial" w:hAnsi="Arial" w:cs="Arial"/>
          <w:sz w:val="22"/>
          <w:szCs w:val="22"/>
        </w:rPr>
        <w:t>prosječnom godišnjom stopom rasta (</w:t>
      </w:r>
      <w:r w:rsidRPr="00981F75">
        <w:rPr>
          <w:rFonts w:ascii="Arial" w:hAnsi="Arial" w:cs="Arial"/>
          <w:sz w:val="22"/>
          <w:szCs w:val="22"/>
        </w:rPr>
        <w:t>CAGR</w:t>
      </w:r>
      <w:r w:rsidR="00BB3F6B">
        <w:rPr>
          <w:rFonts w:ascii="Arial" w:hAnsi="Arial" w:cs="Arial"/>
          <w:sz w:val="22"/>
          <w:szCs w:val="22"/>
        </w:rPr>
        <w:t>)</w:t>
      </w:r>
      <w:r w:rsidRPr="00981F75">
        <w:rPr>
          <w:rFonts w:ascii="Arial" w:hAnsi="Arial" w:cs="Arial"/>
          <w:sz w:val="22"/>
          <w:szCs w:val="22"/>
        </w:rPr>
        <w:t xml:space="preserve"> od 5,5 posto. Prema analizama konzultantske kuće OC&amp;C, u sljedećih pet godina očekuje se CAGR od 4,8 posto.</w:t>
      </w:r>
    </w:p>
    <w:p w14:paraId="321000DF" w14:textId="73CEEB8E" w:rsidR="00FC7AC7" w:rsidRPr="00981F75" w:rsidRDefault="00FC7AC7"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Dva glavna najbrže rastuća segmenta hrvatske maloprodaje po prihodima su trgovine manjeg formata poput Studenca te diskonti. Ti se segmenti međusobno nadopunjuju u kontekstu kupovnih navika, pri čemu kupci u </w:t>
      </w:r>
      <w:r w:rsidRPr="006A16B6">
        <w:rPr>
          <w:rFonts w:ascii="Arial" w:hAnsi="Arial" w:cs="Arial"/>
          <w:sz w:val="22"/>
          <w:szCs w:val="22"/>
        </w:rPr>
        <w:t xml:space="preserve">diskontima kupuju na veliko, dok istovremeno posjećuju trgovine manjih formata radi praktičnosti. </w:t>
      </w:r>
      <w:r w:rsidRPr="00DD3BE9">
        <w:rPr>
          <w:rFonts w:ascii="Arial" w:hAnsi="Arial" w:cs="Arial"/>
          <w:sz w:val="22"/>
          <w:szCs w:val="22"/>
        </w:rPr>
        <w:t>Tržišni udio diskont</w:t>
      </w:r>
      <w:r w:rsidR="00BB3F6B">
        <w:rPr>
          <w:rFonts w:ascii="Arial" w:hAnsi="Arial" w:cs="Arial"/>
          <w:sz w:val="22"/>
          <w:szCs w:val="22"/>
        </w:rPr>
        <w:t xml:space="preserve"> segmenta</w:t>
      </w:r>
      <w:r w:rsidRPr="00DD3BE9">
        <w:rPr>
          <w:rFonts w:ascii="Arial" w:hAnsi="Arial" w:cs="Arial"/>
          <w:sz w:val="22"/>
          <w:szCs w:val="22"/>
        </w:rPr>
        <w:t xml:space="preserve"> u Hrvatskoj je oko 15 posto </w:t>
      </w:r>
      <w:r w:rsidR="00FB1D33" w:rsidRPr="00DD3BE9">
        <w:rPr>
          <w:rFonts w:ascii="Arial" w:hAnsi="Arial" w:cs="Arial"/>
          <w:sz w:val="22"/>
          <w:szCs w:val="22"/>
        </w:rPr>
        <w:t>i</w:t>
      </w:r>
      <w:r w:rsidRPr="00DD3BE9">
        <w:rPr>
          <w:rFonts w:ascii="Arial" w:hAnsi="Arial" w:cs="Arial"/>
          <w:sz w:val="22"/>
          <w:szCs w:val="22"/>
        </w:rPr>
        <w:t xml:space="preserve"> niži </w:t>
      </w:r>
      <w:r w:rsidR="00FB1D33" w:rsidRPr="00DD3BE9">
        <w:rPr>
          <w:rFonts w:ascii="Arial" w:hAnsi="Arial" w:cs="Arial"/>
          <w:sz w:val="22"/>
          <w:szCs w:val="22"/>
        </w:rPr>
        <w:t xml:space="preserve">je </w:t>
      </w:r>
      <w:r w:rsidRPr="00DD3BE9">
        <w:rPr>
          <w:rFonts w:ascii="Arial" w:hAnsi="Arial" w:cs="Arial"/>
          <w:sz w:val="22"/>
          <w:szCs w:val="22"/>
        </w:rPr>
        <w:t xml:space="preserve">od udjela u drugim državama srednje i istočne Europe (npr. Poljska, Češka, Rumunjska, Mađarska) te je u skladu s time utjecaj </w:t>
      </w:r>
      <w:r w:rsidR="00BB3F6B">
        <w:rPr>
          <w:rFonts w:ascii="Arial" w:hAnsi="Arial" w:cs="Arial"/>
          <w:sz w:val="22"/>
          <w:szCs w:val="22"/>
        </w:rPr>
        <w:t xml:space="preserve">ovog segmenta </w:t>
      </w:r>
      <w:r w:rsidRPr="00DD3BE9">
        <w:rPr>
          <w:rFonts w:ascii="Arial" w:hAnsi="Arial" w:cs="Arial"/>
          <w:sz w:val="22"/>
          <w:szCs w:val="22"/>
        </w:rPr>
        <w:t xml:space="preserve">na ukupno tržište značajno </w:t>
      </w:r>
      <w:r w:rsidR="00FB1D33" w:rsidRPr="00DD3BE9">
        <w:rPr>
          <w:rFonts w:ascii="Arial" w:hAnsi="Arial" w:cs="Arial"/>
          <w:sz w:val="22"/>
          <w:szCs w:val="22"/>
        </w:rPr>
        <w:t>manji</w:t>
      </w:r>
      <w:r w:rsidRPr="00DD3BE9">
        <w:rPr>
          <w:rFonts w:ascii="Arial" w:hAnsi="Arial" w:cs="Arial"/>
          <w:sz w:val="22"/>
          <w:szCs w:val="22"/>
        </w:rPr>
        <w:t>.</w:t>
      </w:r>
      <w:r w:rsidRPr="00981F75">
        <w:rPr>
          <w:rFonts w:ascii="Arial" w:hAnsi="Arial" w:cs="Arial"/>
          <w:sz w:val="22"/>
          <w:szCs w:val="22"/>
        </w:rPr>
        <w:t xml:space="preserve"> </w:t>
      </w:r>
    </w:p>
    <w:p w14:paraId="16900A98" w14:textId="438A8BB1" w:rsidR="00FC7AC7" w:rsidRPr="00981F75" w:rsidRDefault="00FC7AC7"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je snažno prisutan u </w:t>
      </w:r>
      <w:r w:rsidR="00EB2BB3">
        <w:rPr>
          <w:rFonts w:ascii="Arial" w:hAnsi="Arial" w:cs="Arial"/>
          <w:sz w:val="22"/>
          <w:szCs w:val="22"/>
        </w:rPr>
        <w:t>stambenim lo</w:t>
      </w:r>
      <w:r w:rsidRPr="00981F75">
        <w:rPr>
          <w:rFonts w:ascii="Arial" w:hAnsi="Arial" w:cs="Arial"/>
          <w:sz w:val="22"/>
          <w:szCs w:val="22"/>
        </w:rPr>
        <w:t>k</w:t>
      </w:r>
      <w:r w:rsidR="00EB2BB3">
        <w:rPr>
          <w:rFonts w:ascii="Arial" w:hAnsi="Arial" w:cs="Arial"/>
          <w:sz w:val="22"/>
          <w:szCs w:val="22"/>
        </w:rPr>
        <w:t xml:space="preserve">acijama, koje </w:t>
      </w:r>
      <w:r w:rsidRPr="00981F75">
        <w:rPr>
          <w:rFonts w:ascii="Arial" w:hAnsi="Arial" w:cs="Arial"/>
          <w:sz w:val="22"/>
          <w:szCs w:val="22"/>
        </w:rPr>
        <w:t>osiguravaju stabilne prihode tijekom cijele godine, i u tipičnim turističkim središtima</w:t>
      </w:r>
      <w:r w:rsidR="00EB2BB3">
        <w:rPr>
          <w:rFonts w:ascii="Arial" w:hAnsi="Arial" w:cs="Arial"/>
          <w:sz w:val="22"/>
          <w:szCs w:val="22"/>
        </w:rPr>
        <w:t xml:space="preserve">, putem kojih </w:t>
      </w:r>
      <w:r w:rsidRPr="00DD3BE9">
        <w:rPr>
          <w:rFonts w:ascii="Arial" w:hAnsi="Arial" w:cs="Arial"/>
          <w:sz w:val="22"/>
          <w:szCs w:val="22"/>
        </w:rPr>
        <w:t xml:space="preserve">može iskoristiti sve prednosti Hrvatske kao popularne turističke destinacije. Prema </w:t>
      </w:r>
      <w:r w:rsidR="00B0613D" w:rsidRPr="00DD3BE9">
        <w:rPr>
          <w:rFonts w:ascii="Arial" w:hAnsi="Arial" w:cs="Arial"/>
          <w:sz w:val="22"/>
          <w:szCs w:val="22"/>
        </w:rPr>
        <w:t>podacima Hrvatske turističke zajednice</w:t>
      </w:r>
      <w:r w:rsidRPr="00DD3BE9">
        <w:rPr>
          <w:rFonts w:ascii="Arial" w:hAnsi="Arial" w:cs="Arial"/>
          <w:sz w:val="22"/>
          <w:szCs w:val="22"/>
        </w:rPr>
        <w:t xml:space="preserve">, Hrvatska je 2023. godine ugostila oko 21 milijun domaćih i stranih turista s oko 107 milijuna </w:t>
      </w:r>
      <w:r w:rsidR="00EB2BB3" w:rsidRPr="00DD3BE9">
        <w:rPr>
          <w:rFonts w:ascii="Arial" w:hAnsi="Arial" w:cs="Arial"/>
          <w:sz w:val="22"/>
          <w:szCs w:val="22"/>
        </w:rPr>
        <w:t xml:space="preserve">ostvarenih </w:t>
      </w:r>
      <w:r w:rsidRPr="00DD3BE9">
        <w:rPr>
          <w:rFonts w:ascii="Arial" w:hAnsi="Arial" w:cs="Arial"/>
          <w:sz w:val="22"/>
          <w:szCs w:val="22"/>
        </w:rPr>
        <w:t>noćenja</w:t>
      </w:r>
      <w:r w:rsidR="007F2233" w:rsidRPr="00DD3BE9">
        <w:rPr>
          <w:rFonts w:ascii="Arial" w:hAnsi="Arial" w:cs="Arial"/>
          <w:sz w:val="22"/>
          <w:szCs w:val="22"/>
        </w:rPr>
        <w:t>. Usporedbe radi, Hrvatska danas broji</w:t>
      </w:r>
      <w:r w:rsidR="00B0613D" w:rsidRPr="00CE76F1">
        <w:rPr>
          <w:rFonts w:ascii="Arial" w:hAnsi="Arial" w:cs="Arial"/>
          <w:sz w:val="22"/>
          <w:szCs w:val="22"/>
        </w:rPr>
        <w:t xml:space="preserve"> nešto ispod četiri milijuna</w:t>
      </w:r>
      <w:r w:rsidR="002B0218" w:rsidRPr="00CE76F1">
        <w:rPr>
          <w:rFonts w:ascii="Arial" w:hAnsi="Arial" w:cs="Arial"/>
          <w:sz w:val="22"/>
          <w:szCs w:val="22"/>
        </w:rPr>
        <w:t xml:space="preserve"> stanovnika</w:t>
      </w:r>
      <w:r w:rsidRPr="00DD3BE9">
        <w:rPr>
          <w:rFonts w:ascii="Arial" w:hAnsi="Arial" w:cs="Arial"/>
          <w:sz w:val="22"/>
          <w:szCs w:val="22"/>
        </w:rPr>
        <w:t xml:space="preserve">. Obzirom na uvođenje eura i ulazak Hrvatske u Schengen zonu </w:t>
      </w:r>
      <w:r w:rsidR="00F46E45" w:rsidRPr="00DD3BE9">
        <w:rPr>
          <w:rFonts w:ascii="Arial" w:hAnsi="Arial" w:cs="Arial"/>
          <w:sz w:val="22"/>
          <w:szCs w:val="22"/>
        </w:rPr>
        <w:t>početkom 2023.</w:t>
      </w:r>
      <w:r w:rsidR="00C42785">
        <w:rPr>
          <w:rFonts w:ascii="Arial" w:hAnsi="Arial" w:cs="Arial"/>
          <w:sz w:val="22"/>
          <w:szCs w:val="22"/>
        </w:rPr>
        <w:t>,</w:t>
      </w:r>
      <w:r w:rsidR="00F46E45" w:rsidRPr="00DD3BE9">
        <w:rPr>
          <w:rFonts w:ascii="Arial" w:hAnsi="Arial" w:cs="Arial"/>
          <w:sz w:val="22"/>
          <w:szCs w:val="22"/>
        </w:rPr>
        <w:t xml:space="preserve"> </w:t>
      </w:r>
      <w:r w:rsidRPr="00DD3BE9">
        <w:rPr>
          <w:rFonts w:ascii="Arial" w:hAnsi="Arial" w:cs="Arial"/>
          <w:sz w:val="22"/>
          <w:szCs w:val="22"/>
        </w:rPr>
        <w:t>očekuje se povećanje broja turista, većinom iz Njemačke i drugih dijelova zapadne Europe.</w:t>
      </w:r>
      <w:r w:rsidR="00981F75">
        <w:rPr>
          <w:rFonts w:ascii="Arial" w:hAnsi="Arial" w:cs="Arial"/>
          <w:sz w:val="22"/>
          <w:szCs w:val="22"/>
        </w:rPr>
        <w:t xml:space="preserve"> </w:t>
      </w:r>
    </w:p>
    <w:p w14:paraId="50E65B91" w14:textId="351DD447" w:rsidR="00B0613D" w:rsidRPr="00981F75" w:rsidRDefault="00B0613D"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Prema OC&amp;C-u, tržišni udio Studenca u Hrvatskoj </w:t>
      </w:r>
      <w:r w:rsidR="00C42785" w:rsidRPr="00981F75">
        <w:rPr>
          <w:rFonts w:ascii="Arial" w:hAnsi="Arial" w:cs="Arial"/>
          <w:sz w:val="22"/>
          <w:szCs w:val="22"/>
        </w:rPr>
        <w:t xml:space="preserve">na temelju ukupnih prihoda </w:t>
      </w:r>
      <w:r w:rsidRPr="00981F75">
        <w:rPr>
          <w:rFonts w:ascii="Arial" w:hAnsi="Arial" w:cs="Arial"/>
          <w:sz w:val="22"/>
          <w:szCs w:val="22"/>
        </w:rPr>
        <w:t xml:space="preserve">u 2023. godini iznosio je 6,6 posto, što je porast od 4,1 postotnog boda u odnosu na 2018. godinu. </w:t>
      </w:r>
    </w:p>
    <w:p w14:paraId="1DE1794D" w14:textId="58548385" w:rsidR="00D54C89" w:rsidRDefault="006F3D23" w:rsidP="00D54C89">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Menadžment vjeruje da je format trgovina Studenac prikladan za širenje u inozemstvo. Studenac je 2024. ušao na tržište Slovenije akvizicijom lanca Kea </w:t>
      </w:r>
      <w:r w:rsidRPr="00DD3BE9">
        <w:rPr>
          <w:rFonts w:ascii="Arial" w:hAnsi="Arial" w:cs="Arial"/>
          <w:sz w:val="22"/>
          <w:szCs w:val="22"/>
        </w:rPr>
        <w:t xml:space="preserve">čime je </w:t>
      </w:r>
      <w:r w:rsidR="007F2233" w:rsidRPr="00DD3BE9">
        <w:rPr>
          <w:rFonts w:ascii="Arial" w:hAnsi="Arial" w:cs="Arial"/>
          <w:sz w:val="22"/>
          <w:szCs w:val="22"/>
        </w:rPr>
        <w:t xml:space="preserve">započeo svoje pozicioniranje </w:t>
      </w:r>
      <w:r w:rsidRPr="00DD3BE9">
        <w:rPr>
          <w:rFonts w:ascii="Arial" w:hAnsi="Arial" w:cs="Arial"/>
          <w:sz w:val="22"/>
          <w:szCs w:val="22"/>
        </w:rPr>
        <w:t>na slovenskom maloprodajnom tržištu vrijednom 5,9 milijardi eura (prema podacima iz 2023. uključenima u OC&amp;C analizu).</w:t>
      </w:r>
    </w:p>
    <w:p w14:paraId="1B1B4E25" w14:textId="54656C80" w:rsidR="006F3D23" w:rsidRPr="00981F75" w:rsidRDefault="006F3D23" w:rsidP="00D54C89">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Slovenija ima slične povoljne karakteristike tržišta kao Hrvatska. Ima atraktivno</w:t>
      </w:r>
      <w:r w:rsidR="00981F75">
        <w:rPr>
          <w:rFonts w:ascii="Arial" w:hAnsi="Arial" w:cs="Arial"/>
          <w:sz w:val="22"/>
          <w:szCs w:val="22"/>
        </w:rPr>
        <w:t xml:space="preserve"> </w:t>
      </w:r>
      <w:r w:rsidRPr="00981F75">
        <w:rPr>
          <w:rFonts w:ascii="Arial" w:hAnsi="Arial" w:cs="Arial"/>
          <w:sz w:val="22"/>
          <w:szCs w:val="22"/>
        </w:rPr>
        <w:t xml:space="preserve">makroekonomsko i demografsko okruženje, uključujući članstvo u eurozoni te najviši BDP po stanovniku među 11 članica Europske unije iz središnje i istočne Europe (prema podacima Eurostata za 2023.). </w:t>
      </w:r>
    </w:p>
    <w:p w14:paraId="33ADC411" w14:textId="728949E6" w:rsidR="006F3D23" w:rsidRPr="00981F75" w:rsidRDefault="006F3D23" w:rsidP="006F3D23">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Prema mišljenju menadžmenta, format trgovina Studenca </w:t>
      </w:r>
      <w:r w:rsidR="00C42785">
        <w:rPr>
          <w:rFonts w:ascii="Arial" w:hAnsi="Arial" w:cs="Arial"/>
          <w:sz w:val="22"/>
          <w:szCs w:val="22"/>
        </w:rPr>
        <w:t xml:space="preserve">je </w:t>
      </w:r>
      <w:r w:rsidRPr="00981F75">
        <w:rPr>
          <w:rFonts w:ascii="Arial" w:hAnsi="Arial" w:cs="Arial"/>
          <w:sz w:val="22"/>
          <w:szCs w:val="22"/>
        </w:rPr>
        <w:t xml:space="preserve">dobro prilagođen slovenskom tržištu, </w:t>
      </w:r>
      <w:r w:rsidR="00C42785">
        <w:rPr>
          <w:rFonts w:ascii="Arial" w:hAnsi="Arial" w:cs="Arial"/>
          <w:sz w:val="22"/>
          <w:szCs w:val="22"/>
        </w:rPr>
        <w:t xml:space="preserve">te su </w:t>
      </w:r>
      <w:r w:rsidRPr="00981F75">
        <w:rPr>
          <w:rFonts w:ascii="Arial" w:hAnsi="Arial" w:cs="Arial"/>
          <w:sz w:val="22"/>
          <w:szCs w:val="22"/>
        </w:rPr>
        <w:t>ukusi i navike slovenskih i hrvatskih potrošača</w:t>
      </w:r>
      <w:r w:rsidR="00C42785">
        <w:rPr>
          <w:rFonts w:ascii="Arial" w:hAnsi="Arial" w:cs="Arial"/>
          <w:sz w:val="22"/>
          <w:szCs w:val="22"/>
        </w:rPr>
        <w:t xml:space="preserve"> slični</w:t>
      </w:r>
      <w:r w:rsidRPr="00981F75">
        <w:rPr>
          <w:rFonts w:ascii="Arial" w:hAnsi="Arial" w:cs="Arial"/>
          <w:sz w:val="22"/>
          <w:szCs w:val="22"/>
        </w:rPr>
        <w:t>.</w:t>
      </w:r>
    </w:p>
    <w:p w14:paraId="68DFCA1A" w14:textId="77777777" w:rsidR="00DC74D6" w:rsidRPr="00981F75" w:rsidRDefault="00DC74D6" w:rsidP="00C47B26">
      <w:pPr>
        <w:pStyle w:val="NormalWeb"/>
        <w:spacing w:before="0" w:beforeAutospacing="0" w:after="120" w:afterAutospacing="0" w:line="264" w:lineRule="auto"/>
        <w:jc w:val="both"/>
        <w:rPr>
          <w:rFonts w:ascii="Arial" w:hAnsi="Arial" w:cs="Arial"/>
          <w:sz w:val="22"/>
          <w:szCs w:val="22"/>
        </w:rPr>
      </w:pPr>
    </w:p>
    <w:p w14:paraId="6C59422D" w14:textId="7C17CC1E" w:rsidR="00DC74D6" w:rsidRPr="00981F75" w:rsidRDefault="00F00322" w:rsidP="00F16B8C">
      <w:pPr>
        <w:pStyle w:val="NormalWeb"/>
        <w:numPr>
          <w:ilvl w:val="0"/>
          <w:numId w:val="5"/>
        </w:numPr>
        <w:spacing w:before="0" w:beforeAutospacing="0" w:after="120" w:afterAutospacing="0" w:line="264" w:lineRule="auto"/>
        <w:jc w:val="both"/>
        <w:rPr>
          <w:rFonts w:ascii="Arial" w:hAnsi="Arial" w:cs="Arial"/>
          <w:i/>
          <w:iCs/>
          <w:sz w:val="22"/>
          <w:szCs w:val="22"/>
          <w:u w:val="single"/>
        </w:rPr>
      </w:pPr>
      <w:r w:rsidRPr="00981F75">
        <w:rPr>
          <w:rFonts w:ascii="Arial" w:hAnsi="Arial" w:cs="Arial"/>
          <w:i/>
          <w:iCs/>
          <w:sz w:val="22"/>
          <w:szCs w:val="22"/>
          <w:u w:val="single"/>
        </w:rPr>
        <w:t>Ubrzana ekspanzija od 2018.</w:t>
      </w:r>
      <w:r w:rsidR="00F16B8C" w:rsidRPr="00981F75">
        <w:rPr>
          <w:rFonts w:ascii="Arial" w:hAnsi="Arial" w:cs="Arial"/>
          <w:i/>
          <w:iCs/>
          <w:sz w:val="22"/>
          <w:szCs w:val="22"/>
          <w:u w:val="single"/>
        </w:rPr>
        <w:t xml:space="preserve"> </w:t>
      </w:r>
    </w:p>
    <w:p w14:paraId="5F78A015" w14:textId="0803FC1C" w:rsidR="00CE79B4" w:rsidRPr="00981F75" w:rsidRDefault="00CE79B4"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Studenac je osnovan 1991. godine u Omišu</w:t>
      </w:r>
      <w:r w:rsidR="00D54C89">
        <w:rPr>
          <w:rFonts w:ascii="Arial" w:hAnsi="Arial" w:cs="Arial"/>
          <w:sz w:val="22"/>
          <w:szCs w:val="22"/>
        </w:rPr>
        <w:t xml:space="preserve"> u južnom dijelu Hrvatske</w:t>
      </w:r>
      <w:r w:rsidRPr="00981F75">
        <w:rPr>
          <w:rFonts w:ascii="Arial" w:hAnsi="Arial" w:cs="Arial"/>
          <w:sz w:val="22"/>
          <w:szCs w:val="22"/>
        </w:rPr>
        <w:t xml:space="preserve">. U kolovozu 2018. </w:t>
      </w:r>
      <w:r w:rsidR="00C42785">
        <w:rPr>
          <w:rFonts w:ascii="Arial" w:hAnsi="Arial" w:cs="Arial"/>
          <w:sz w:val="22"/>
          <w:szCs w:val="22"/>
        </w:rPr>
        <w:t xml:space="preserve">Društvo </w:t>
      </w:r>
      <w:r w:rsidRPr="00981F75">
        <w:rPr>
          <w:rFonts w:ascii="Arial" w:hAnsi="Arial" w:cs="Arial"/>
          <w:sz w:val="22"/>
          <w:szCs w:val="22"/>
        </w:rPr>
        <w:t xml:space="preserve">je preuzeo </w:t>
      </w:r>
      <w:proofErr w:type="spellStart"/>
      <w:r w:rsidRPr="00981F75">
        <w:rPr>
          <w:rFonts w:ascii="Arial" w:hAnsi="Arial" w:cs="Arial"/>
          <w:sz w:val="22"/>
          <w:szCs w:val="22"/>
        </w:rPr>
        <w:t>Polish</w:t>
      </w:r>
      <w:proofErr w:type="spellEnd"/>
      <w:r w:rsidRPr="00981F75">
        <w:rPr>
          <w:rFonts w:ascii="Arial" w:hAnsi="Arial" w:cs="Arial"/>
          <w:sz w:val="22"/>
          <w:szCs w:val="22"/>
        </w:rPr>
        <w:t xml:space="preserve"> Enterprise </w:t>
      </w:r>
      <w:proofErr w:type="spellStart"/>
      <w:r w:rsidRPr="00981F75">
        <w:rPr>
          <w:rFonts w:ascii="Arial" w:hAnsi="Arial" w:cs="Arial"/>
          <w:sz w:val="22"/>
          <w:szCs w:val="22"/>
        </w:rPr>
        <w:t>F</w:t>
      </w:r>
      <w:r w:rsidR="00D54C89">
        <w:rPr>
          <w:rFonts w:ascii="Arial" w:hAnsi="Arial" w:cs="Arial"/>
          <w:sz w:val="22"/>
          <w:szCs w:val="22"/>
        </w:rPr>
        <w:t>u</w:t>
      </w:r>
      <w:r w:rsidRPr="00981F75">
        <w:rPr>
          <w:rFonts w:ascii="Arial" w:hAnsi="Arial" w:cs="Arial"/>
          <w:sz w:val="22"/>
          <w:szCs w:val="22"/>
        </w:rPr>
        <w:t>nd</w:t>
      </w:r>
      <w:proofErr w:type="spellEnd"/>
      <w:r w:rsidR="00D54C89">
        <w:rPr>
          <w:rFonts w:ascii="Arial" w:hAnsi="Arial" w:cs="Arial"/>
          <w:sz w:val="22"/>
          <w:szCs w:val="22"/>
        </w:rPr>
        <w:t xml:space="preserve"> VIII</w:t>
      </w:r>
      <w:r w:rsidRPr="00981F75">
        <w:rPr>
          <w:rFonts w:ascii="Arial" w:hAnsi="Arial" w:cs="Arial"/>
          <w:sz w:val="22"/>
          <w:szCs w:val="22"/>
        </w:rPr>
        <w:t xml:space="preserve"> (PEF</w:t>
      </w:r>
      <w:r w:rsidR="00D54C89">
        <w:rPr>
          <w:rFonts w:ascii="Arial" w:hAnsi="Arial" w:cs="Arial"/>
          <w:sz w:val="22"/>
          <w:szCs w:val="22"/>
        </w:rPr>
        <w:t xml:space="preserve"> VIII</w:t>
      </w:r>
      <w:r w:rsidRPr="00981F75">
        <w:rPr>
          <w:rFonts w:ascii="Arial" w:hAnsi="Arial" w:cs="Arial"/>
          <w:sz w:val="22"/>
          <w:szCs w:val="22"/>
        </w:rPr>
        <w:t xml:space="preserve">) kojim upravlja Enterprise Investors, jedan od najvećih </w:t>
      </w:r>
      <w:proofErr w:type="spellStart"/>
      <w:r w:rsidRPr="00981F75">
        <w:rPr>
          <w:rFonts w:ascii="Arial" w:hAnsi="Arial" w:cs="Arial"/>
          <w:sz w:val="22"/>
          <w:szCs w:val="22"/>
        </w:rPr>
        <w:t>private</w:t>
      </w:r>
      <w:proofErr w:type="spellEnd"/>
      <w:r w:rsidR="00C42785">
        <w:rPr>
          <w:rFonts w:ascii="Arial" w:hAnsi="Arial" w:cs="Arial"/>
          <w:sz w:val="22"/>
          <w:szCs w:val="22"/>
        </w:rPr>
        <w:t xml:space="preserve"> </w:t>
      </w:r>
      <w:proofErr w:type="spellStart"/>
      <w:r w:rsidRPr="00981F75">
        <w:rPr>
          <w:rFonts w:ascii="Arial" w:hAnsi="Arial" w:cs="Arial"/>
          <w:sz w:val="22"/>
          <w:szCs w:val="22"/>
        </w:rPr>
        <w:t>equity</w:t>
      </w:r>
      <w:proofErr w:type="spellEnd"/>
      <w:r w:rsidRPr="00981F75">
        <w:rPr>
          <w:rFonts w:ascii="Arial" w:hAnsi="Arial" w:cs="Arial"/>
          <w:sz w:val="22"/>
          <w:szCs w:val="22"/>
        </w:rPr>
        <w:t xml:space="preserve"> fondova u srednjoj i istočnoj Europi. Enterprise Investors se </w:t>
      </w:r>
      <w:r w:rsidRPr="00981F75">
        <w:rPr>
          <w:rFonts w:ascii="Arial" w:hAnsi="Arial" w:cs="Arial"/>
          <w:sz w:val="22"/>
          <w:szCs w:val="22"/>
        </w:rPr>
        <w:lastRenderedPageBreak/>
        <w:t xml:space="preserve">može pohvaliti jedinstvenim iskustvom i uspješnim investicijama u maloprodajnom sektoru. To uključuje investiciju u kompaniju Dino Polska S.A., jednog od najvećih maloprodajnih lanaca u Poljskoj koji je uspješno izlistan na Varšavskoj burzi 2017., te Profi Rom Food, najveći lanac supermarketa u Rumunjskoj kojeg su 2016. prodali drugoj </w:t>
      </w:r>
      <w:proofErr w:type="spellStart"/>
      <w:r w:rsidRPr="00981F75">
        <w:rPr>
          <w:rFonts w:ascii="Arial" w:hAnsi="Arial" w:cs="Arial"/>
          <w:sz w:val="22"/>
          <w:szCs w:val="22"/>
        </w:rPr>
        <w:t>private</w:t>
      </w:r>
      <w:proofErr w:type="spellEnd"/>
      <w:r w:rsidR="00C42785">
        <w:rPr>
          <w:rFonts w:ascii="Arial" w:hAnsi="Arial" w:cs="Arial"/>
          <w:sz w:val="22"/>
          <w:szCs w:val="22"/>
        </w:rPr>
        <w:t xml:space="preserve"> </w:t>
      </w:r>
      <w:proofErr w:type="spellStart"/>
      <w:r w:rsidRPr="00981F75">
        <w:rPr>
          <w:rFonts w:ascii="Arial" w:hAnsi="Arial" w:cs="Arial"/>
          <w:sz w:val="22"/>
          <w:szCs w:val="22"/>
        </w:rPr>
        <w:t>equity</w:t>
      </w:r>
      <w:proofErr w:type="spellEnd"/>
      <w:r w:rsidRPr="00981F75">
        <w:rPr>
          <w:rFonts w:ascii="Arial" w:hAnsi="Arial" w:cs="Arial"/>
          <w:sz w:val="22"/>
          <w:szCs w:val="22"/>
        </w:rPr>
        <w:t xml:space="preserve"> kompaniji.</w:t>
      </w:r>
    </w:p>
    <w:p w14:paraId="07A5DF84" w14:textId="0327295D" w:rsidR="003821C8" w:rsidRPr="00981F75" w:rsidRDefault="003821C8"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U trenutku kada ga je preuzeo PEF</w:t>
      </w:r>
      <w:r w:rsidR="00D54C89">
        <w:rPr>
          <w:rFonts w:ascii="Arial" w:hAnsi="Arial" w:cs="Arial"/>
          <w:sz w:val="22"/>
          <w:szCs w:val="22"/>
        </w:rPr>
        <w:t xml:space="preserve"> VIII</w:t>
      </w:r>
      <w:r w:rsidRPr="00981F75">
        <w:rPr>
          <w:rFonts w:ascii="Arial" w:hAnsi="Arial" w:cs="Arial"/>
          <w:sz w:val="22"/>
          <w:szCs w:val="22"/>
        </w:rPr>
        <w:t>, mreža Studenca sastojala se od 385 trgovina. Nakon akvizicije, Studencu se pridružio tim menadžera i kompanija je počela ubrzano rasti. Studenac se tako transformirao iz kompanije u obiteljskom vlasništvu u profesionalnu organizaciju usmjerenu na rezultate.</w:t>
      </w:r>
    </w:p>
    <w:p w14:paraId="06F3F7AC" w14:textId="3D4658DD" w:rsidR="003821C8" w:rsidRPr="00981F75" w:rsidRDefault="003821C8"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 digitalizacijom duboko ukorijenjenom u </w:t>
      </w:r>
      <w:r w:rsidR="002B0218" w:rsidRPr="00981F75">
        <w:rPr>
          <w:rFonts w:ascii="Arial" w:hAnsi="Arial" w:cs="Arial"/>
          <w:sz w:val="22"/>
          <w:szCs w:val="22"/>
        </w:rPr>
        <w:t xml:space="preserve">svoj </w:t>
      </w:r>
      <w:r w:rsidRPr="00981F75">
        <w:rPr>
          <w:rFonts w:ascii="Arial" w:hAnsi="Arial" w:cs="Arial"/>
          <w:sz w:val="22"/>
          <w:szCs w:val="22"/>
        </w:rPr>
        <w:t xml:space="preserve">DNA, Studenac je postao jedan od najbrže rastućih tržišnih igrača u maloprodajnom sektoru u Hrvatskoj. Mreža trgovina se brzo širi, organski i akvizicijama. Od 2018. do </w:t>
      </w:r>
      <w:r w:rsidR="00DD3BE9">
        <w:rPr>
          <w:rFonts w:ascii="Arial" w:hAnsi="Arial" w:cs="Arial"/>
          <w:sz w:val="22"/>
          <w:szCs w:val="22"/>
        </w:rPr>
        <w:t>30.</w:t>
      </w:r>
      <w:r w:rsidR="00DD3BE9" w:rsidRPr="00981F75">
        <w:rPr>
          <w:rFonts w:ascii="Arial" w:hAnsi="Arial" w:cs="Arial"/>
          <w:sz w:val="22"/>
          <w:szCs w:val="22"/>
        </w:rPr>
        <w:t xml:space="preserve"> </w:t>
      </w:r>
      <w:r w:rsidRPr="00981F75">
        <w:rPr>
          <w:rFonts w:ascii="Arial" w:hAnsi="Arial" w:cs="Arial"/>
          <w:sz w:val="22"/>
          <w:szCs w:val="22"/>
        </w:rPr>
        <w:t>rujna 2024., Studenac je otvorio 491 novu i preuzeo 725 trgovina zahvaljujući akvizicijama lanaca Istarski Supermarketi, Sonik, Bure, Pemo, Lonia, Strahinjčica, Špar Trgovina, LA-VOR i Decentia u Hrvatskoj te lanca Kea u Sloveniji.</w:t>
      </w:r>
    </w:p>
    <w:p w14:paraId="6334972C" w14:textId="77777777" w:rsidR="00687E00" w:rsidRPr="00981F75" w:rsidRDefault="00687E00" w:rsidP="00C47B26">
      <w:pPr>
        <w:pStyle w:val="NormalWeb"/>
        <w:spacing w:before="0" w:beforeAutospacing="0" w:after="120" w:afterAutospacing="0" w:line="264" w:lineRule="auto"/>
        <w:jc w:val="both"/>
        <w:rPr>
          <w:rFonts w:ascii="Arial" w:hAnsi="Arial" w:cs="Arial"/>
          <w:sz w:val="22"/>
          <w:szCs w:val="22"/>
        </w:rPr>
      </w:pPr>
    </w:p>
    <w:p w14:paraId="73986DB7" w14:textId="509B56F4" w:rsidR="00F16B8C" w:rsidRPr="00981F75" w:rsidRDefault="003821C8" w:rsidP="00F16B8C">
      <w:pPr>
        <w:pStyle w:val="NormalWeb"/>
        <w:numPr>
          <w:ilvl w:val="0"/>
          <w:numId w:val="5"/>
        </w:numPr>
        <w:spacing w:before="0" w:beforeAutospacing="0" w:after="120" w:afterAutospacing="0" w:line="264" w:lineRule="auto"/>
        <w:jc w:val="both"/>
        <w:rPr>
          <w:rFonts w:ascii="Arial" w:hAnsi="Arial" w:cs="Arial"/>
          <w:sz w:val="22"/>
          <w:szCs w:val="22"/>
        </w:rPr>
      </w:pPr>
      <w:r w:rsidRPr="00981F75">
        <w:rPr>
          <w:rFonts w:ascii="Arial" w:hAnsi="Arial" w:cs="Arial"/>
          <w:i/>
          <w:iCs/>
          <w:sz w:val="22"/>
          <w:szCs w:val="22"/>
          <w:u w:val="single"/>
        </w:rPr>
        <w:t>Snažno financijsko poslovanje s iznimnim rastom prodaje</w:t>
      </w:r>
    </w:p>
    <w:p w14:paraId="64233D4D" w14:textId="4B55F345" w:rsidR="004262EC" w:rsidRPr="00981F75" w:rsidRDefault="004262EC" w:rsidP="004262EC">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Studenac</w:t>
      </w:r>
      <w:r w:rsidR="00020663" w:rsidRPr="00981F75">
        <w:rPr>
          <w:rFonts w:ascii="Arial" w:hAnsi="Arial" w:cs="Arial"/>
          <w:sz w:val="22"/>
          <w:szCs w:val="22"/>
        </w:rPr>
        <w:t xml:space="preserve"> je jedan od najbrže rastućih maloprodajnih lanaca u srednjoj i istočnoj Europi</w:t>
      </w:r>
      <w:r w:rsidR="00DD3BE9">
        <w:rPr>
          <w:rFonts w:ascii="Arial" w:hAnsi="Arial" w:cs="Arial"/>
          <w:sz w:val="22"/>
          <w:szCs w:val="22"/>
        </w:rPr>
        <w:t>,</w:t>
      </w:r>
      <w:r w:rsidR="00D54C89">
        <w:rPr>
          <w:rFonts w:ascii="Arial" w:hAnsi="Arial" w:cs="Arial"/>
          <w:sz w:val="22"/>
          <w:szCs w:val="22"/>
        </w:rPr>
        <w:t xml:space="preserve"> sa sjedištem u Hrvatskoj</w:t>
      </w:r>
      <w:r w:rsidR="00020663" w:rsidRPr="00981F75">
        <w:rPr>
          <w:rFonts w:ascii="Arial" w:hAnsi="Arial" w:cs="Arial"/>
          <w:sz w:val="22"/>
          <w:szCs w:val="22"/>
        </w:rPr>
        <w:t xml:space="preserve">. </w:t>
      </w:r>
      <w:r w:rsidR="002B0218" w:rsidRPr="00981F75">
        <w:rPr>
          <w:rFonts w:ascii="Arial" w:hAnsi="Arial" w:cs="Arial"/>
          <w:sz w:val="22"/>
          <w:szCs w:val="22"/>
        </w:rPr>
        <w:t>S</w:t>
      </w:r>
      <w:r w:rsidR="00020663" w:rsidRPr="00981F75">
        <w:rPr>
          <w:rFonts w:ascii="Arial" w:hAnsi="Arial" w:cs="Arial"/>
          <w:sz w:val="22"/>
          <w:szCs w:val="22"/>
        </w:rPr>
        <w:t>talno</w:t>
      </w:r>
      <w:r w:rsidR="002B0218" w:rsidRPr="00981F75">
        <w:rPr>
          <w:rFonts w:ascii="Arial" w:hAnsi="Arial" w:cs="Arial"/>
          <w:sz w:val="22"/>
          <w:szCs w:val="22"/>
        </w:rPr>
        <w:t xml:space="preserve"> je</w:t>
      </w:r>
      <w:r w:rsidR="00020663" w:rsidRPr="00981F75">
        <w:rPr>
          <w:rFonts w:ascii="Arial" w:hAnsi="Arial" w:cs="Arial"/>
          <w:sz w:val="22"/>
          <w:szCs w:val="22"/>
        </w:rPr>
        <w:t xml:space="preserve"> povećava</w:t>
      </w:r>
      <w:r w:rsidR="002B0218" w:rsidRPr="00981F75">
        <w:rPr>
          <w:rFonts w:ascii="Arial" w:hAnsi="Arial" w:cs="Arial"/>
          <w:sz w:val="22"/>
          <w:szCs w:val="22"/>
        </w:rPr>
        <w:t>o</w:t>
      </w:r>
      <w:r w:rsidR="00020663" w:rsidRPr="00981F75">
        <w:rPr>
          <w:rFonts w:ascii="Arial" w:hAnsi="Arial" w:cs="Arial"/>
          <w:sz w:val="22"/>
          <w:szCs w:val="22"/>
        </w:rPr>
        <w:t xml:space="preserve"> prihode </w:t>
      </w:r>
      <w:r w:rsidR="00D54C89">
        <w:rPr>
          <w:rFonts w:ascii="Arial" w:hAnsi="Arial" w:cs="Arial"/>
          <w:sz w:val="22"/>
          <w:szCs w:val="22"/>
        </w:rPr>
        <w:t>i to</w:t>
      </w:r>
      <w:r w:rsidR="00020663" w:rsidRPr="00981F75">
        <w:rPr>
          <w:rFonts w:ascii="Arial" w:hAnsi="Arial" w:cs="Arial"/>
          <w:sz w:val="22"/>
          <w:szCs w:val="22"/>
        </w:rPr>
        <w:t xml:space="preserve"> organsk</w:t>
      </w:r>
      <w:r w:rsidR="00D54C89">
        <w:rPr>
          <w:rFonts w:ascii="Arial" w:hAnsi="Arial" w:cs="Arial"/>
          <w:sz w:val="22"/>
          <w:szCs w:val="22"/>
        </w:rPr>
        <w:t>i</w:t>
      </w:r>
      <w:r w:rsidR="00020663" w:rsidRPr="00981F75">
        <w:rPr>
          <w:rFonts w:ascii="Arial" w:hAnsi="Arial" w:cs="Arial"/>
          <w:sz w:val="22"/>
          <w:szCs w:val="22"/>
        </w:rPr>
        <w:t>m rast</w:t>
      </w:r>
      <w:r w:rsidR="00D54C89">
        <w:rPr>
          <w:rFonts w:ascii="Arial" w:hAnsi="Arial" w:cs="Arial"/>
          <w:sz w:val="22"/>
          <w:szCs w:val="22"/>
        </w:rPr>
        <w:t>om</w:t>
      </w:r>
      <w:r w:rsidR="00020663" w:rsidRPr="00981F75">
        <w:rPr>
          <w:rFonts w:ascii="Arial" w:hAnsi="Arial" w:cs="Arial"/>
          <w:sz w:val="22"/>
          <w:szCs w:val="22"/>
        </w:rPr>
        <w:t xml:space="preserve">, </w:t>
      </w:r>
      <w:r w:rsidR="00D54C89">
        <w:rPr>
          <w:rFonts w:ascii="Arial" w:hAnsi="Arial" w:cs="Arial"/>
          <w:sz w:val="22"/>
          <w:szCs w:val="22"/>
        </w:rPr>
        <w:t xml:space="preserve">akvizicijama </w:t>
      </w:r>
      <w:r w:rsidR="00020663" w:rsidRPr="00981F75">
        <w:rPr>
          <w:rFonts w:ascii="Arial" w:hAnsi="Arial" w:cs="Arial"/>
          <w:sz w:val="22"/>
          <w:szCs w:val="22"/>
        </w:rPr>
        <w:t>kao i rast</w:t>
      </w:r>
      <w:r w:rsidR="00D54C89">
        <w:rPr>
          <w:rFonts w:ascii="Arial" w:hAnsi="Arial" w:cs="Arial"/>
          <w:sz w:val="22"/>
          <w:szCs w:val="22"/>
        </w:rPr>
        <w:t>om</w:t>
      </w:r>
      <w:r w:rsidR="00020663" w:rsidRPr="00981F75">
        <w:rPr>
          <w:rFonts w:ascii="Arial" w:hAnsi="Arial" w:cs="Arial"/>
          <w:sz w:val="22"/>
          <w:szCs w:val="22"/>
        </w:rPr>
        <w:t xml:space="preserve"> na usporedivoj osnovi (like-for-like, LFL).</w:t>
      </w:r>
    </w:p>
    <w:p w14:paraId="36F3A53D" w14:textId="16CA1887" w:rsidR="004262EC" w:rsidRPr="00981F75" w:rsidRDefault="00535AE7" w:rsidP="00F46E45">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Prihodi su porasli s 309,5 milijuna eura u 2021. godini na 668,1 milijuna eura u 2023. godini, što predstavlja </w:t>
      </w:r>
      <w:r w:rsidR="00C42785">
        <w:rPr>
          <w:rFonts w:ascii="Arial" w:hAnsi="Arial" w:cs="Arial"/>
          <w:sz w:val="22"/>
          <w:szCs w:val="22"/>
        </w:rPr>
        <w:t xml:space="preserve">prosječnu </w:t>
      </w:r>
      <w:r w:rsidRPr="00981F75">
        <w:rPr>
          <w:rFonts w:ascii="Arial" w:hAnsi="Arial" w:cs="Arial"/>
          <w:sz w:val="22"/>
          <w:szCs w:val="22"/>
        </w:rPr>
        <w:t>godišnju stopu rasta (CAGR) od 46,9 posto. U istom razdoblju, prilagođena EBITD</w:t>
      </w:r>
      <w:r w:rsidR="00F46E45" w:rsidRPr="00981F75">
        <w:rPr>
          <w:rFonts w:ascii="Arial" w:hAnsi="Arial" w:cs="Arial"/>
          <w:sz w:val="22"/>
          <w:szCs w:val="22"/>
        </w:rPr>
        <w:t>A</w:t>
      </w:r>
      <w:r w:rsidR="002B0218" w:rsidRPr="00981F75">
        <w:rPr>
          <w:rStyle w:val="FootnoteReference"/>
          <w:rFonts w:ascii="Arial" w:hAnsi="Arial" w:cs="Arial"/>
          <w:sz w:val="22"/>
          <w:szCs w:val="22"/>
        </w:rPr>
        <w:footnoteReference w:id="3"/>
      </w:r>
      <w:r w:rsidRPr="00981F75">
        <w:rPr>
          <w:rFonts w:ascii="Arial" w:hAnsi="Arial" w:cs="Arial"/>
          <w:sz w:val="22"/>
          <w:szCs w:val="22"/>
        </w:rPr>
        <w:t xml:space="preserve"> </w:t>
      </w:r>
      <w:r w:rsidR="00C42785" w:rsidRPr="00981F75">
        <w:rPr>
          <w:rFonts w:ascii="Arial" w:hAnsi="Arial" w:cs="Arial"/>
          <w:sz w:val="22"/>
          <w:szCs w:val="22"/>
        </w:rPr>
        <w:t>poveća</w:t>
      </w:r>
      <w:r w:rsidR="00C42785">
        <w:rPr>
          <w:rFonts w:ascii="Arial" w:hAnsi="Arial" w:cs="Arial"/>
          <w:sz w:val="22"/>
          <w:szCs w:val="22"/>
        </w:rPr>
        <w:t>na</w:t>
      </w:r>
      <w:r w:rsidR="00C42785" w:rsidRPr="00981F75">
        <w:rPr>
          <w:rFonts w:ascii="Arial" w:hAnsi="Arial" w:cs="Arial"/>
          <w:sz w:val="22"/>
          <w:szCs w:val="22"/>
        </w:rPr>
        <w:t xml:space="preserve"> </w:t>
      </w:r>
      <w:r w:rsidR="00C42785">
        <w:rPr>
          <w:rFonts w:ascii="Arial" w:hAnsi="Arial" w:cs="Arial"/>
          <w:sz w:val="22"/>
          <w:szCs w:val="22"/>
        </w:rPr>
        <w:t>j</w:t>
      </w:r>
      <w:r w:rsidRPr="00981F75">
        <w:rPr>
          <w:rFonts w:ascii="Arial" w:hAnsi="Arial" w:cs="Arial"/>
          <w:sz w:val="22"/>
          <w:szCs w:val="22"/>
        </w:rPr>
        <w:t>e s 31,3 milijuna eura na 65,9 milijuna eura (CAGR od 45,1 posto).</w:t>
      </w:r>
      <w:r w:rsidR="00F46E45" w:rsidRPr="00981F75">
        <w:rPr>
          <w:rFonts w:ascii="Arial" w:hAnsi="Arial" w:cs="Arial"/>
          <w:sz w:val="22"/>
          <w:szCs w:val="22"/>
        </w:rPr>
        <w:t xml:space="preserve"> </w:t>
      </w:r>
      <w:r w:rsidR="004262EC" w:rsidRPr="00981F75">
        <w:rPr>
          <w:rFonts w:ascii="Arial" w:hAnsi="Arial" w:cs="Arial"/>
          <w:sz w:val="22"/>
          <w:szCs w:val="22"/>
        </w:rPr>
        <w:t xml:space="preserve">Pro forma </w:t>
      </w:r>
      <w:r w:rsidR="00680948" w:rsidRPr="00981F75">
        <w:rPr>
          <w:rFonts w:ascii="Arial" w:hAnsi="Arial" w:cs="Arial"/>
          <w:sz w:val="22"/>
          <w:szCs w:val="22"/>
        </w:rPr>
        <w:t xml:space="preserve">prihodi i </w:t>
      </w:r>
      <w:r w:rsidR="004262EC" w:rsidRPr="00981F75">
        <w:rPr>
          <w:rFonts w:ascii="Arial" w:hAnsi="Arial" w:cs="Arial"/>
          <w:sz w:val="22"/>
          <w:szCs w:val="22"/>
        </w:rPr>
        <w:t xml:space="preserve">pro forma </w:t>
      </w:r>
      <w:r w:rsidR="00680948" w:rsidRPr="00981F75">
        <w:rPr>
          <w:rFonts w:ascii="Arial" w:hAnsi="Arial" w:cs="Arial"/>
          <w:sz w:val="22"/>
          <w:szCs w:val="22"/>
        </w:rPr>
        <w:t>prilagođena</w:t>
      </w:r>
      <w:r w:rsidR="004262EC" w:rsidRPr="00981F75">
        <w:rPr>
          <w:rFonts w:ascii="Arial" w:hAnsi="Arial" w:cs="Arial"/>
          <w:sz w:val="22"/>
          <w:szCs w:val="22"/>
        </w:rPr>
        <w:t xml:space="preserve"> EBITDA </w:t>
      </w:r>
      <w:r w:rsidR="00680948" w:rsidRPr="00981F75">
        <w:rPr>
          <w:rFonts w:ascii="Arial" w:hAnsi="Arial" w:cs="Arial"/>
          <w:sz w:val="22"/>
          <w:szCs w:val="22"/>
        </w:rPr>
        <w:t xml:space="preserve">za </w:t>
      </w:r>
      <w:r w:rsidR="004262EC" w:rsidRPr="00981F75">
        <w:rPr>
          <w:rFonts w:ascii="Arial" w:hAnsi="Arial" w:cs="Arial"/>
          <w:sz w:val="22"/>
          <w:szCs w:val="22"/>
        </w:rPr>
        <w:t>2023</w:t>
      </w:r>
      <w:r w:rsidR="00680948" w:rsidRPr="00981F75">
        <w:rPr>
          <w:rFonts w:ascii="Arial" w:hAnsi="Arial" w:cs="Arial"/>
          <w:sz w:val="22"/>
          <w:szCs w:val="22"/>
        </w:rPr>
        <w:t>.</w:t>
      </w:r>
      <w:r w:rsidR="004262EC" w:rsidRPr="00981F75">
        <w:rPr>
          <w:rStyle w:val="FootnoteReference"/>
          <w:rFonts w:ascii="Arial" w:hAnsi="Arial" w:cs="Arial"/>
          <w:sz w:val="22"/>
          <w:szCs w:val="22"/>
        </w:rPr>
        <w:footnoteReference w:id="4"/>
      </w:r>
      <w:r w:rsidR="004262EC" w:rsidRPr="00981F75">
        <w:rPr>
          <w:rFonts w:ascii="Arial" w:hAnsi="Arial" w:cs="Arial"/>
          <w:sz w:val="22"/>
          <w:szCs w:val="22"/>
        </w:rPr>
        <w:t xml:space="preserve"> </w:t>
      </w:r>
      <w:r w:rsidR="00C42785">
        <w:rPr>
          <w:rFonts w:ascii="Arial" w:hAnsi="Arial" w:cs="Arial"/>
          <w:sz w:val="22"/>
          <w:szCs w:val="22"/>
        </w:rPr>
        <w:t xml:space="preserve">iznosili </w:t>
      </w:r>
      <w:r w:rsidR="00680948" w:rsidRPr="00981F75">
        <w:rPr>
          <w:rFonts w:ascii="Arial" w:hAnsi="Arial" w:cs="Arial"/>
          <w:sz w:val="22"/>
          <w:szCs w:val="22"/>
        </w:rPr>
        <w:t xml:space="preserve">su </w:t>
      </w:r>
      <w:r w:rsidR="004262EC" w:rsidRPr="00981F75">
        <w:rPr>
          <w:rFonts w:ascii="Arial" w:hAnsi="Arial" w:cs="Arial"/>
          <w:sz w:val="22"/>
          <w:szCs w:val="22"/>
        </w:rPr>
        <w:t>702 mil</w:t>
      </w:r>
      <w:r w:rsidR="00680948" w:rsidRPr="00981F75">
        <w:rPr>
          <w:rFonts w:ascii="Arial" w:hAnsi="Arial" w:cs="Arial"/>
          <w:sz w:val="22"/>
          <w:szCs w:val="22"/>
        </w:rPr>
        <w:t>ijuna eura</w:t>
      </w:r>
      <w:r w:rsidR="00F46E45" w:rsidRPr="00981F75">
        <w:rPr>
          <w:rFonts w:ascii="Arial" w:hAnsi="Arial" w:cs="Arial"/>
          <w:sz w:val="22"/>
          <w:szCs w:val="22"/>
        </w:rPr>
        <w:t>, odnosno</w:t>
      </w:r>
      <w:r w:rsidR="00680948" w:rsidRPr="00981F75">
        <w:rPr>
          <w:rFonts w:ascii="Arial" w:hAnsi="Arial" w:cs="Arial"/>
          <w:sz w:val="22"/>
          <w:szCs w:val="22"/>
        </w:rPr>
        <w:t xml:space="preserve"> </w:t>
      </w:r>
      <w:r w:rsidR="004262EC" w:rsidRPr="00981F75">
        <w:rPr>
          <w:rFonts w:ascii="Arial" w:hAnsi="Arial" w:cs="Arial"/>
          <w:sz w:val="22"/>
          <w:szCs w:val="22"/>
        </w:rPr>
        <w:t>7</w:t>
      </w:r>
      <w:r w:rsidR="00D54C89">
        <w:rPr>
          <w:rFonts w:ascii="Arial" w:hAnsi="Arial" w:cs="Arial"/>
          <w:sz w:val="22"/>
          <w:szCs w:val="22"/>
        </w:rPr>
        <w:t>0,7</w:t>
      </w:r>
      <w:r w:rsidR="004262EC" w:rsidRPr="00981F75">
        <w:rPr>
          <w:rFonts w:ascii="Arial" w:hAnsi="Arial" w:cs="Arial"/>
          <w:sz w:val="22"/>
          <w:szCs w:val="22"/>
        </w:rPr>
        <w:t xml:space="preserve"> </w:t>
      </w:r>
      <w:r w:rsidR="00680948" w:rsidRPr="00981F75">
        <w:rPr>
          <w:rFonts w:ascii="Arial" w:hAnsi="Arial" w:cs="Arial"/>
          <w:sz w:val="22"/>
          <w:szCs w:val="22"/>
        </w:rPr>
        <w:t>milijun</w:t>
      </w:r>
      <w:r w:rsidR="00D54C89">
        <w:rPr>
          <w:rFonts w:ascii="Arial" w:hAnsi="Arial" w:cs="Arial"/>
          <w:sz w:val="22"/>
          <w:szCs w:val="22"/>
        </w:rPr>
        <w:t>a</w:t>
      </w:r>
      <w:r w:rsidR="00680948" w:rsidRPr="00981F75">
        <w:rPr>
          <w:rFonts w:ascii="Arial" w:hAnsi="Arial" w:cs="Arial"/>
          <w:sz w:val="22"/>
          <w:szCs w:val="22"/>
        </w:rPr>
        <w:t xml:space="preserve"> eura. LFL rast prihoda u Studencu iznosio </w:t>
      </w:r>
      <w:r w:rsidR="00680948" w:rsidRPr="00C330CE">
        <w:rPr>
          <w:rFonts w:ascii="Arial" w:hAnsi="Arial" w:cs="Arial"/>
          <w:sz w:val="22"/>
          <w:szCs w:val="22"/>
        </w:rPr>
        <w:t>je 5,6</w:t>
      </w:r>
      <w:r w:rsidR="00680948" w:rsidRPr="00981F75">
        <w:rPr>
          <w:rFonts w:ascii="Arial" w:hAnsi="Arial" w:cs="Arial"/>
          <w:sz w:val="22"/>
          <w:szCs w:val="22"/>
        </w:rPr>
        <w:t xml:space="preserve"> posto u 2021., 18</w:t>
      </w:r>
      <w:r w:rsidR="00F46E45" w:rsidRPr="00981F75">
        <w:rPr>
          <w:rFonts w:ascii="Arial" w:hAnsi="Arial" w:cs="Arial"/>
          <w:sz w:val="22"/>
          <w:szCs w:val="22"/>
        </w:rPr>
        <w:t>,0 posto</w:t>
      </w:r>
      <w:r w:rsidR="00680948" w:rsidRPr="00981F75">
        <w:rPr>
          <w:rFonts w:ascii="Arial" w:hAnsi="Arial" w:cs="Arial"/>
          <w:sz w:val="22"/>
          <w:szCs w:val="22"/>
        </w:rPr>
        <w:t xml:space="preserve"> u 2022. i 16,3 posto u 2023. godini.</w:t>
      </w:r>
      <w:r w:rsidR="00981F75">
        <w:rPr>
          <w:rFonts w:ascii="Arial" w:hAnsi="Arial" w:cs="Arial"/>
          <w:sz w:val="22"/>
          <w:szCs w:val="22"/>
        </w:rPr>
        <w:t xml:space="preserve"> </w:t>
      </w:r>
    </w:p>
    <w:p w14:paraId="3C16EF13" w14:textId="5B5CBC24" w:rsidR="004262EC" w:rsidRPr="00981F75" w:rsidRDefault="00680948" w:rsidP="00E66252">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U prvih osam mjeseci 2024. godine, Studenac je ostvario konsolidirani prihod od 556,5 milijuna eura, što je porast od 19,7 posto </w:t>
      </w:r>
      <w:r w:rsidR="00E83CAF">
        <w:rPr>
          <w:rFonts w:ascii="Arial" w:hAnsi="Arial" w:cs="Arial"/>
          <w:sz w:val="22"/>
          <w:szCs w:val="22"/>
        </w:rPr>
        <w:t xml:space="preserve">na godišnjoj razini </w:t>
      </w:r>
      <w:r w:rsidRPr="00981F75">
        <w:rPr>
          <w:rFonts w:ascii="Arial" w:hAnsi="Arial" w:cs="Arial"/>
          <w:sz w:val="22"/>
          <w:szCs w:val="22"/>
        </w:rPr>
        <w:t>s LFL rastom od 13,1 posto. U istom razdoblju, prilagođena EBITDA povećana je na 66,9 milijuna eura (+22,3 posto y/y).</w:t>
      </w:r>
      <w:r w:rsidR="00E66252" w:rsidRPr="00981F75">
        <w:rPr>
          <w:rFonts w:ascii="Arial" w:hAnsi="Arial" w:cs="Arial"/>
          <w:sz w:val="22"/>
          <w:szCs w:val="22"/>
        </w:rPr>
        <w:t xml:space="preserve"> Pro forma prihodi i pro forma prilagođena EBITDA za prvih osam mjeseci 2024.</w:t>
      </w:r>
      <w:r w:rsidR="00DE1DB2">
        <w:rPr>
          <w:rFonts w:ascii="Arial" w:hAnsi="Arial" w:cs="Arial"/>
          <w:sz w:val="22"/>
          <w:szCs w:val="22"/>
        </w:rPr>
        <w:t xml:space="preserve"> </w:t>
      </w:r>
      <w:r w:rsidR="00E83CAF">
        <w:rPr>
          <w:rFonts w:ascii="Arial" w:hAnsi="Arial" w:cs="Arial"/>
          <w:sz w:val="22"/>
          <w:szCs w:val="22"/>
        </w:rPr>
        <w:t xml:space="preserve">iznosili </w:t>
      </w:r>
      <w:r w:rsidR="00E66252" w:rsidRPr="00981F75">
        <w:rPr>
          <w:rFonts w:ascii="Arial" w:hAnsi="Arial" w:cs="Arial"/>
          <w:sz w:val="22"/>
          <w:szCs w:val="22"/>
        </w:rPr>
        <w:t xml:space="preserve">su </w:t>
      </w:r>
      <w:r w:rsidR="004262EC" w:rsidRPr="00981F75">
        <w:rPr>
          <w:rFonts w:ascii="Arial" w:hAnsi="Arial" w:cs="Arial"/>
          <w:sz w:val="22"/>
          <w:szCs w:val="22"/>
        </w:rPr>
        <w:t>608</w:t>
      </w:r>
      <w:r w:rsidR="00E66252" w:rsidRPr="00981F75">
        <w:rPr>
          <w:rFonts w:ascii="Arial" w:hAnsi="Arial" w:cs="Arial"/>
          <w:sz w:val="22"/>
          <w:szCs w:val="22"/>
        </w:rPr>
        <w:t>,</w:t>
      </w:r>
      <w:r w:rsidR="004262EC" w:rsidRPr="00981F75">
        <w:rPr>
          <w:rFonts w:ascii="Arial" w:hAnsi="Arial" w:cs="Arial"/>
          <w:sz w:val="22"/>
          <w:szCs w:val="22"/>
        </w:rPr>
        <w:t>8 mil</w:t>
      </w:r>
      <w:r w:rsidR="00E66252" w:rsidRPr="00981F75">
        <w:rPr>
          <w:rFonts w:ascii="Arial" w:hAnsi="Arial" w:cs="Arial"/>
          <w:sz w:val="22"/>
          <w:szCs w:val="22"/>
        </w:rPr>
        <w:t>ijuna eura</w:t>
      </w:r>
      <w:r w:rsidR="00B85448" w:rsidRPr="00981F75">
        <w:rPr>
          <w:rFonts w:ascii="Arial" w:hAnsi="Arial" w:cs="Arial"/>
          <w:sz w:val="22"/>
          <w:szCs w:val="22"/>
        </w:rPr>
        <w:t>, odnosno</w:t>
      </w:r>
      <w:r w:rsidR="00E66252" w:rsidRPr="00981F75">
        <w:rPr>
          <w:rFonts w:ascii="Arial" w:hAnsi="Arial" w:cs="Arial"/>
          <w:sz w:val="22"/>
          <w:szCs w:val="22"/>
        </w:rPr>
        <w:t xml:space="preserve"> </w:t>
      </w:r>
      <w:r w:rsidR="004262EC" w:rsidRPr="00981F75">
        <w:rPr>
          <w:rFonts w:ascii="Arial" w:hAnsi="Arial" w:cs="Arial"/>
          <w:sz w:val="22"/>
          <w:szCs w:val="22"/>
        </w:rPr>
        <w:t>72</w:t>
      </w:r>
      <w:r w:rsidR="00E66252" w:rsidRPr="00981F75">
        <w:rPr>
          <w:rFonts w:ascii="Arial" w:hAnsi="Arial" w:cs="Arial"/>
          <w:sz w:val="22"/>
          <w:szCs w:val="22"/>
        </w:rPr>
        <w:t>,</w:t>
      </w:r>
      <w:r w:rsidR="004262EC" w:rsidRPr="00981F75">
        <w:rPr>
          <w:rFonts w:ascii="Arial" w:hAnsi="Arial" w:cs="Arial"/>
          <w:sz w:val="22"/>
          <w:szCs w:val="22"/>
        </w:rPr>
        <w:t>1 mil</w:t>
      </w:r>
      <w:r w:rsidR="00E66252" w:rsidRPr="00981F75">
        <w:rPr>
          <w:rFonts w:ascii="Arial" w:hAnsi="Arial" w:cs="Arial"/>
          <w:sz w:val="22"/>
          <w:szCs w:val="22"/>
        </w:rPr>
        <w:t>ijun eura.</w:t>
      </w:r>
    </w:p>
    <w:p w14:paraId="59C7371D" w14:textId="0FAA9137" w:rsidR="00E66252" w:rsidRPr="00981F75" w:rsidRDefault="00E66252" w:rsidP="004262EC">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Cilj menadžmenta je povećati prihode Grupe za otprilike 30 posto </w:t>
      </w:r>
      <w:r w:rsidR="00DE1DB2">
        <w:rPr>
          <w:rFonts w:ascii="Arial" w:hAnsi="Arial" w:cs="Arial"/>
          <w:sz w:val="22"/>
          <w:szCs w:val="22"/>
        </w:rPr>
        <w:t>(</w:t>
      </w:r>
      <w:r w:rsidRPr="00981F75">
        <w:rPr>
          <w:rFonts w:ascii="Arial" w:hAnsi="Arial" w:cs="Arial"/>
          <w:sz w:val="22"/>
          <w:szCs w:val="22"/>
        </w:rPr>
        <w:t>na pro</w:t>
      </w:r>
      <w:r w:rsidR="00B85448" w:rsidRPr="00981F75">
        <w:rPr>
          <w:rFonts w:ascii="Arial" w:hAnsi="Arial" w:cs="Arial"/>
          <w:sz w:val="22"/>
          <w:szCs w:val="22"/>
        </w:rPr>
        <w:t xml:space="preserve"> </w:t>
      </w:r>
      <w:r w:rsidRPr="00981F75">
        <w:rPr>
          <w:rFonts w:ascii="Arial" w:hAnsi="Arial" w:cs="Arial"/>
          <w:sz w:val="22"/>
          <w:szCs w:val="22"/>
        </w:rPr>
        <w:t>forma osnovi</w:t>
      </w:r>
      <w:r w:rsidR="00DE1DB2">
        <w:rPr>
          <w:rFonts w:ascii="Arial" w:hAnsi="Arial" w:cs="Arial"/>
          <w:sz w:val="22"/>
          <w:szCs w:val="22"/>
        </w:rPr>
        <w:t>)</w:t>
      </w:r>
      <w:r w:rsidRPr="00981F75">
        <w:rPr>
          <w:rFonts w:ascii="Arial" w:hAnsi="Arial" w:cs="Arial"/>
          <w:sz w:val="22"/>
          <w:szCs w:val="22"/>
        </w:rPr>
        <w:t xml:space="preserve"> u 2024. u usporedbi s 2023. godinom</w:t>
      </w:r>
      <w:r w:rsidR="00E83CAF">
        <w:rPr>
          <w:rFonts w:ascii="Arial" w:hAnsi="Arial" w:cs="Arial"/>
          <w:sz w:val="22"/>
          <w:szCs w:val="22"/>
        </w:rPr>
        <w:t xml:space="preserve">, te </w:t>
      </w:r>
      <w:r w:rsidRPr="00981F75">
        <w:rPr>
          <w:rFonts w:ascii="Arial" w:hAnsi="Arial" w:cs="Arial"/>
          <w:sz w:val="22"/>
          <w:szCs w:val="22"/>
        </w:rPr>
        <w:t xml:space="preserve">CAGR-om od 25 do 30 posto u srednjoročnom razdoblju. </w:t>
      </w:r>
    </w:p>
    <w:p w14:paraId="58F633E5" w14:textId="00CF6573" w:rsidR="00C47B26" w:rsidRPr="00981F75" w:rsidRDefault="007C09F7" w:rsidP="00F16B8C">
      <w:pPr>
        <w:pStyle w:val="NormalWeb"/>
        <w:numPr>
          <w:ilvl w:val="0"/>
          <w:numId w:val="5"/>
        </w:numPr>
        <w:spacing w:before="0" w:beforeAutospacing="0" w:after="120" w:afterAutospacing="0" w:line="264" w:lineRule="auto"/>
        <w:jc w:val="both"/>
        <w:rPr>
          <w:rFonts w:ascii="Arial" w:hAnsi="Arial" w:cs="Arial"/>
          <w:i/>
          <w:iCs/>
          <w:sz w:val="22"/>
          <w:szCs w:val="22"/>
          <w:u w:val="single"/>
        </w:rPr>
      </w:pPr>
      <w:r w:rsidRPr="00981F75">
        <w:rPr>
          <w:rFonts w:ascii="Arial" w:hAnsi="Arial" w:cs="Arial"/>
          <w:i/>
          <w:iCs/>
          <w:sz w:val="22"/>
          <w:szCs w:val="22"/>
          <w:u w:val="single"/>
        </w:rPr>
        <w:lastRenderedPageBreak/>
        <w:t>Daljnji rast u Hrvatskoj</w:t>
      </w:r>
      <w:r w:rsidR="00FF2E5D" w:rsidRPr="00981F75">
        <w:rPr>
          <w:rFonts w:ascii="Arial" w:hAnsi="Arial" w:cs="Arial"/>
          <w:i/>
          <w:iCs/>
          <w:sz w:val="22"/>
          <w:szCs w:val="22"/>
          <w:u w:val="single"/>
        </w:rPr>
        <w:t xml:space="preserve"> i međunarodna ekspanzija s ciljem od 3</w:t>
      </w:r>
      <w:r w:rsidR="00E83CAF">
        <w:rPr>
          <w:rFonts w:ascii="Arial" w:hAnsi="Arial" w:cs="Arial"/>
          <w:i/>
          <w:iCs/>
          <w:sz w:val="22"/>
          <w:szCs w:val="22"/>
          <w:u w:val="single"/>
        </w:rPr>
        <w:t>.</w:t>
      </w:r>
      <w:r w:rsidR="00FF2E5D" w:rsidRPr="00981F75">
        <w:rPr>
          <w:rFonts w:ascii="Arial" w:hAnsi="Arial" w:cs="Arial"/>
          <w:i/>
          <w:iCs/>
          <w:sz w:val="22"/>
          <w:szCs w:val="22"/>
          <w:u w:val="single"/>
        </w:rPr>
        <w:t xml:space="preserve">400 trgovina do kraja 2028. </w:t>
      </w:r>
    </w:p>
    <w:p w14:paraId="00B39070" w14:textId="2EA1174C" w:rsidR="00FF2E5D" w:rsidRPr="00981F75" w:rsidRDefault="007C09F7"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Menadžment kompanije vjeruje da je Studenac povoljno pozicioniran za daljnji</w:t>
      </w:r>
      <w:r w:rsidR="00981F75">
        <w:rPr>
          <w:rFonts w:ascii="Arial" w:hAnsi="Arial" w:cs="Arial"/>
          <w:sz w:val="22"/>
          <w:szCs w:val="22"/>
        </w:rPr>
        <w:t xml:space="preserve"> </w:t>
      </w:r>
      <w:r w:rsidRPr="00981F75">
        <w:rPr>
          <w:rFonts w:ascii="Arial" w:hAnsi="Arial" w:cs="Arial"/>
          <w:sz w:val="22"/>
          <w:szCs w:val="22"/>
        </w:rPr>
        <w:t>rast u Hrvatskoj</w:t>
      </w:r>
      <w:r w:rsidR="00FF2E5D" w:rsidRPr="00981F75">
        <w:rPr>
          <w:rFonts w:ascii="Arial" w:hAnsi="Arial" w:cs="Arial"/>
          <w:sz w:val="22"/>
          <w:szCs w:val="22"/>
        </w:rPr>
        <w:t xml:space="preserve"> kao i da je format njegovih trgovina primjenjiv za ekspanziju na inozemna tržišta. U 2024. Studenac je ušao na tržište susjedne Slovenije.</w:t>
      </w:r>
      <w:r w:rsidR="00981F75">
        <w:rPr>
          <w:rFonts w:ascii="Arial" w:hAnsi="Arial" w:cs="Arial"/>
          <w:sz w:val="22"/>
          <w:szCs w:val="22"/>
        </w:rPr>
        <w:t xml:space="preserve"> </w:t>
      </w:r>
    </w:p>
    <w:p w14:paraId="7831CDC0" w14:textId="1DEBF8C6" w:rsidR="00C47B26" w:rsidRPr="00981F75" w:rsidRDefault="007C09F7"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Strategija Studenca temelji se na nekoliko čimbenika rasta, uključujući povećanje opsega poslovanja i fleksibilnost, LFL rast, poboljšanje ponude i unapređenje korisničkog iskustva.</w:t>
      </w:r>
    </w:p>
    <w:p w14:paraId="7697CD8B" w14:textId="79C4DB38" w:rsidR="00F12CB0" w:rsidRPr="00981F75" w:rsidRDefault="00F12CB0"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Studenac planira nastaviti rasti organski, odnosno otvaranjem novih trgovina u Hrvatskoj</w:t>
      </w:r>
      <w:r w:rsidR="00FF2E5D" w:rsidRPr="00981F75">
        <w:rPr>
          <w:rFonts w:ascii="Arial" w:hAnsi="Arial" w:cs="Arial"/>
          <w:sz w:val="22"/>
          <w:szCs w:val="22"/>
        </w:rPr>
        <w:t xml:space="preserve"> i Sloveniji</w:t>
      </w:r>
      <w:r w:rsidRPr="00981F75">
        <w:rPr>
          <w:rFonts w:ascii="Arial" w:hAnsi="Arial" w:cs="Arial"/>
          <w:sz w:val="22"/>
          <w:szCs w:val="22"/>
        </w:rPr>
        <w:t xml:space="preserve">. </w:t>
      </w:r>
      <w:r w:rsidR="00C330CE">
        <w:rPr>
          <w:rFonts w:ascii="Arial" w:hAnsi="Arial" w:cs="Arial"/>
          <w:sz w:val="22"/>
          <w:szCs w:val="22"/>
        </w:rPr>
        <w:t xml:space="preserve">Studenac </w:t>
      </w:r>
      <w:r w:rsidRPr="00981F75">
        <w:rPr>
          <w:rFonts w:ascii="Arial" w:hAnsi="Arial" w:cs="Arial"/>
          <w:sz w:val="22"/>
          <w:szCs w:val="22"/>
        </w:rPr>
        <w:t xml:space="preserve">planira </w:t>
      </w:r>
      <w:r w:rsidR="00C330CE">
        <w:rPr>
          <w:rFonts w:ascii="Arial" w:hAnsi="Arial" w:cs="Arial"/>
          <w:sz w:val="22"/>
          <w:szCs w:val="22"/>
        </w:rPr>
        <w:t xml:space="preserve">doseći brojku od </w:t>
      </w:r>
      <w:r w:rsidRPr="00981F75">
        <w:rPr>
          <w:rFonts w:ascii="Arial" w:hAnsi="Arial" w:cs="Arial"/>
          <w:sz w:val="22"/>
          <w:szCs w:val="22"/>
        </w:rPr>
        <w:t>oko 140 trgovina</w:t>
      </w:r>
      <w:r w:rsidR="00C330CE">
        <w:rPr>
          <w:rFonts w:ascii="Arial" w:hAnsi="Arial" w:cs="Arial"/>
          <w:sz w:val="22"/>
          <w:szCs w:val="22"/>
        </w:rPr>
        <w:t xml:space="preserve"> otvorenih u cijeloj 2024.</w:t>
      </w:r>
      <w:r w:rsidR="00043B45">
        <w:rPr>
          <w:rFonts w:ascii="Arial" w:hAnsi="Arial" w:cs="Arial"/>
          <w:sz w:val="22"/>
          <w:szCs w:val="22"/>
        </w:rPr>
        <w:t xml:space="preserve">, a menadžment </w:t>
      </w:r>
      <w:r w:rsidR="00094F7C">
        <w:rPr>
          <w:rFonts w:ascii="Arial" w:hAnsi="Arial" w:cs="Arial"/>
          <w:sz w:val="22"/>
          <w:szCs w:val="22"/>
        </w:rPr>
        <w:t xml:space="preserve">očekuje da će broj novih trgovina rasti svake godine i to </w:t>
      </w:r>
      <w:r w:rsidRPr="00981F75">
        <w:rPr>
          <w:rFonts w:ascii="Arial" w:hAnsi="Arial" w:cs="Arial"/>
          <w:sz w:val="22"/>
          <w:szCs w:val="22"/>
        </w:rPr>
        <w:t xml:space="preserve">na osnovu prilika </w:t>
      </w:r>
      <w:r w:rsidR="00E83CAF">
        <w:rPr>
          <w:rFonts w:ascii="Arial" w:hAnsi="Arial" w:cs="Arial"/>
          <w:sz w:val="22"/>
          <w:szCs w:val="22"/>
        </w:rPr>
        <w:t xml:space="preserve">za nova otvaranja </w:t>
      </w:r>
      <w:r w:rsidR="00E83CAF" w:rsidRPr="00981F75">
        <w:rPr>
          <w:rFonts w:ascii="Arial" w:hAnsi="Arial" w:cs="Arial"/>
          <w:sz w:val="22"/>
          <w:szCs w:val="22"/>
        </w:rPr>
        <w:t>(takozvan</w:t>
      </w:r>
      <w:r w:rsidR="00E83CAF">
        <w:rPr>
          <w:rFonts w:ascii="Arial" w:hAnsi="Arial" w:cs="Arial"/>
          <w:sz w:val="22"/>
          <w:szCs w:val="22"/>
        </w:rPr>
        <w:t>i</w:t>
      </w:r>
      <w:r w:rsidR="00E83CAF" w:rsidRPr="00981F75">
        <w:rPr>
          <w:rFonts w:ascii="Arial" w:hAnsi="Arial" w:cs="Arial"/>
          <w:sz w:val="22"/>
          <w:szCs w:val="22"/>
        </w:rPr>
        <w:t xml:space="preserve"> '</w:t>
      </w:r>
      <w:proofErr w:type="spellStart"/>
      <w:r w:rsidR="00E83CAF" w:rsidRPr="00981F75">
        <w:rPr>
          <w:rFonts w:ascii="Arial" w:hAnsi="Arial" w:cs="Arial"/>
          <w:sz w:val="22"/>
          <w:szCs w:val="22"/>
        </w:rPr>
        <w:t>white</w:t>
      </w:r>
      <w:proofErr w:type="spellEnd"/>
      <w:r w:rsidR="00E83CAF" w:rsidRPr="00981F75">
        <w:rPr>
          <w:rFonts w:ascii="Arial" w:hAnsi="Arial" w:cs="Arial"/>
          <w:sz w:val="22"/>
          <w:szCs w:val="22"/>
        </w:rPr>
        <w:t xml:space="preserve"> </w:t>
      </w:r>
      <w:proofErr w:type="spellStart"/>
      <w:r w:rsidR="00E83CAF" w:rsidRPr="00981F75">
        <w:rPr>
          <w:rFonts w:ascii="Arial" w:hAnsi="Arial" w:cs="Arial"/>
          <w:sz w:val="22"/>
          <w:szCs w:val="22"/>
        </w:rPr>
        <w:t>space</w:t>
      </w:r>
      <w:proofErr w:type="spellEnd"/>
      <w:r w:rsidR="00E83CAF" w:rsidRPr="00981F75">
        <w:rPr>
          <w:rFonts w:ascii="Arial" w:hAnsi="Arial" w:cs="Arial"/>
          <w:sz w:val="22"/>
          <w:szCs w:val="22"/>
        </w:rPr>
        <w:t>')</w:t>
      </w:r>
      <w:r w:rsidR="00E83CAF">
        <w:rPr>
          <w:rFonts w:ascii="Arial" w:hAnsi="Arial" w:cs="Arial"/>
          <w:sz w:val="22"/>
          <w:szCs w:val="22"/>
        </w:rPr>
        <w:t xml:space="preserve"> </w:t>
      </w:r>
      <w:r w:rsidRPr="00981F75">
        <w:rPr>
          <w:rFonts w:ascii="Arial" w:hAnsi="Arial" w:cs="Arial"/>
          <w:sz w:val="22"/>
          <w:szCs w:val="22"/>
        </w:rPr>
        <w:t xml:space="preserve">u Hrvatskoj </w:t>
      </w:r>
      <w:r w:rsidR="00C330CE">
        <w:rPr>
          <w:rFonts w:ascii="Arial" w:hAnsi="Arial" w:cs="Arial"/>
          <w:sz w:val="22"/>
          <w:szCs w:val="22"/>
        </w:rPr>
        <w:t>i Sloveniji</w:t>
      </w:r>
      <w:r w:rsidRPr="00981F75">
        <w:rPr>
          <w:rFonts w:ascii="Arial" w:hAnsi="Arial" w:cs="Arial"/>
          <w:sz w:val="22"/>
          <w:szCs w:val="22"/>
        </w:rPr>
        <w:t>. Konzultantska tvrtka OC&amp;C procjenjuje da postoji 3</w:t>
      </w:r>
      <w:r w:rsidR="00E83CAF">
        <w:rPr>
          <w:rFonts w:ascii="Arial" w:hAnsi="Arial" w:cs="Arial"/>
          <w:sz w:val="22"/>
          <w:szCs w:val="22"/>
        </w:rPr>
        <w:t>.</w:t>
      </w:r>
      <w:r w:rsidRPr="00981F75">
        <w:rPr>
          <w:rFonts w:ascii="Arial" w:hAnsi="Arial" w:cs="Arial"/>
          <w:sz w:val="22"/>
          <w:szCs w:val="22"/>
        </w:rPr>
        <w:t xml:space="preserve">200 </w:t>
      </w:r>
      <w:r w:rsidR="00AE3380">
        <w:rPr>
          <w:rFonts w:ascii="Arial" w:hAnsi="Arial" w:cs="Arial"/>
          <w:sz w:val="22"/>
          <w:szCs w:val="22"/>
        </w:rPr>
        <w:t>'</w:t>
      </w:r>
      <w:proofErr w:type="spellStart"/>
      <w:r w:rsidR="00E83CAF">
        <w:rPr>
          <w:rFonts w:ascii="Arial" w:hAnsi="Arial" w:cs="Arial"/>
          <w:sz w:val="22"/>
          <w:szCs w:val="22"/>
        </w:rPr>
        <w:t>white</w:t>
      </w:r>
      <w:proofErr w:type="spellEnd"/>
      <w:r w:rsidR="00E83CAF">
        <w:rPr>
          <w:rFonts w:ascii="Arial" w:hAnsi="Arial" w:cs="Arial"/>
          <w:sz w:val="22"/>
          <w:szCs w:val="22"/>
        </w:rPr>
        <w:t xml:space="preserve"> </w:t>
      </w:r>
      <w:proofErr w:type="spellStart"/>
      <w:r w:rsidR="00E83CAF">
        <w:rPr>
          <w:rFonts w:ascii="Arial" w:hAnsi="Arial" w:cs="Arial"/>
          <w:sz w:val="22"/>
          <w:szCs w:val="22"/>
        </w:rPr>
        <w:t>space</w:t>
      </w:r>
      <w:proofErr w:type="spellEnd"/>
      <w:r w:rsidR="00AE3380">
        <w:rPr>
          <w:rFonts w:ascii="Arial" w:hAnsi="Arial" w:cs="Arial"/>
          <w:sz w:val="22"/>
          <w:szCs w:val="22"/>
        </w:rPr>
        <w:t>'</w:t>
      </w:r>
      <w:r w:rsidR="00E83CAF">
        <w:rPr>
          <w:rFonts w:ascii="Arial" w:hAnsi="Arial" w:cs="Arial"/>
          <w:sz w:val="22"/>
          <w:szCs w:val="22"/>
        </w:rPr>
        <w:t xml:space="preserve"> </w:t>
      </w:r>
      <w:r w:rsidRPr="00981F75">
        <w:rPr>
          <w:rFonts w:ascii="Arial" w:hAnsi="Arial" w:cs="Arial"/>
          <w:sz w:val="22"/>
          <w:szCs w:val="22"/>
        </w:rPr>
        <w:t>lokacija pogodnih za format Studenca diljem Hrvatske</w:t>
      </w:r>
      <w:r w:rsidR="00FF2E5D" w:rsidRPr="00981F75">
        <w:rPr>
          <w:rFonts w:ascii="Arial" w:hAnsi="Arial" w:cs="Arial"/>
          <w:sz w:val="22"/>
          <w:szCs w:val="22"/>
        </w:rPr>
        <w:t xml:space="preserve"> kao i oko 700 potencijalnih lokacija u Sloveniji.</w:t>
      </w:r>
    </w:p>
    <w:p w14:paraId="27EBDEB7" w14:textId="101AF08D" w:rsidR="009C471C" w:rsidRPr="00981F75" w:rsidRDefault="009C471C" w:rsidP="00C47B2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w:t>
      </w:r>
      <w:r w:rsidR="008E115A" w:rsidRPr="00981F75">
        <w:rPr>
          <w:rFonts w:ascii="Arial" w:hAnsi="Arial" w:cs="Arial"/>
          <w:sz w:val="22"/>
          <w:szCs w:val="22"/>
        </w:rPr>
        <w:t xml:space="preserve">također </w:t>
      </w:r>
      <w:r w:rsidRPr="00981F75">
        <w:rPr>
          <w:rFonts w:ascii="Arial" w:hAnsi="Arial" w:cs="Arial"/>
          <w:sz w:val="22"/>
          <w:szCs w:val="22"/>
        </w:rPr>
        <w:t xml:space="preserve">namjerava nastaviti provoditi svoju provjerenu strategiju konsolidacije tržišta akvizicijama drugih tržišnih igrača. Rascjepkanost hrvatskog maloprodajnog tržišta privlačna je konsolidatoru kao što je Studenac, jednako kao i sve veća važnost kupnje u trgovinama u </w:t>
      </w:r>
      <w:r w:rsidR="00E83CAF">
        <w:rPr>
          <w:rFonts w:ascii="Arial" w:hAnsi="Arial" w:cs="Arial"/>
          <w:sz w:val="22"/>
          <w:szCs w:val="22"/>
        </w:rPr>
        <w:t xml:space="preserve">neposrednoj </w:t>
      </w:r>
      <w:r w:rsidRPr="00981F75">
        <w:rPr>
          <w:rFonts w:ascii="Arial" w:hAnsi="Arial" w:cs="Arial"/>
          <w:sz w:val="22"/>
          <w:szCs w:val="22"/>
        </w:rPr>
        <w:t>blizini, što ide u prilog poslovnom modelu Studenca. Studenac je već potvrdio svoje iskustvo u akvizicijama i uspješnoj integraciji drugih maloprodajnih lanaca iz cijele zemlje.</w:t>
      </w:r>
    </w:p>
    <w:p w14:paraId="681D4E3D" w14:textId="6BB73F43" w:rsidR="008E115A" w:rsidRDefault="00E83CAF" w:rsidP="00C47B26">
      <w:pPr>
        <w:pStyle w:val="NormalWeb"/>
        <w:spacing w:before="0" w:beforeAutospacing="0" w:after="120" w:afterAutospacing="0" w:line="264" w:lineRule="auto"/>
        <w:jc w:val="both"/>
        <w:rPr>
          <w:rFonts w:ascii="Arial" w:hAnsi="Arial" w:cs="Arial"/>
          <w:sz w:val="22"/>
          <w:szCs w:val="22"/>
        </w:rPr>
      </w:pPr>
      <w:r>
        <w:rPr>
          <w:rFonts w:ascii="Arial" w:hAnsi="Arial" w:cs="Arial"/>
          <w:sz w:val="22"/>
          <w:szCs w:val="22"/>
        </w:rPr>
        <w:t xml:space="preserve">Kroz </w:t>
      </w:r>
      <w:r w:rsidR="008E115A" w:rsidRPr="00981F75">
        <w:rPr>
          <w:rFonts w:ascii="Arial" w:hAnsi="Arial" w:cs="Arial"/>
          <w:sz w:val="22"/>
          <w:szCs w:val="22"/>
        </w:rPr>
        <w:t xml:space="preserve">otvaranje novih trgovina te </w:t>
      </w:r>
      <w:r w:rsidRPr="00981F75">
        <w:rPr>
          <w:rFonts w:ascii="Arial" w:hAnsi="Arial" w:cs="Arial"/>
          <w:sz w:val="22"/>
          <w:szCs w:val="22"/>
        </w:rPr>
        <w:t>akvizicij</w:t>
      </w:r>
      <w:r>
        <w:rPr>
          <w:rFonts w:ascii="Arial" w:hAnsi="Arial" w:cs="Arial"/>
          <w:sz w:val="22"/>
          <w:szCs w:val="22"/>
        </w:rPr>
        <w:t>e</w:t>
      </w:r>
      <w:r w:rsidRPr="00981F75">
        <w:rPr>
          <w:rFonts w:ascii="Arial" w:hAnsi="Arial" w:cs="Arial"/>
          <w:sz w:val="22"/>
          <w:szCs w:val="22"/>
        </w:rPr>
        <w:t xml:space="preserve"> </w:t>
      </w:r>
      <w:r w:rsidR="008E115A" w:rsidRPr="00981F75">
        <w:rPr>
          <w:rFonts w:ascii="Arial" w:hAnsi="Arial" w:cs="Arial"/>
          <w:sz w:val="22"/>
          <w:szCs w:val="22"/>
        </w:rPr>
        <w:t>drugih tržišnih igrača u Hrvatskoj i Sloveniji</w:t>
      </w:r>
      <w:r w:rsidR="00301D0E">
        <w:rPr>
          <w:rFonts w:ascii="Arial" w:hAnsi="Arial" w:cs="Arial"/>
          <w:sz w:val="22"/>
          <w:szCs w:val="22"/>
        </w:rPr>
        <w:t xml:space="preserve">, </w:t>
      </w:r>
      <w:r w:rsidR="00301D0E" w:rsidRPr="00301D0E">
        <w:rPr>
          <w:rFonts w:ascii="Arial" w:hAnsi="Arial" w:cs="Arial"/>
          <w:sz w:val="22"/>
          <w:szCs w:val="22"/>
        </w:rPr>
        <w:t>Studenac ukupno planira imati 3.400 trgovina u svojoj mreži do kraja 2028. godine</w:t>
      </w:r>
      <w:r w:rsidR="008E115A" w:rsidRPr="00981F75">
        <w:rPr>
          <w:rFonts w:ascii="Arial" w:hAnsi="Arial" w:cs="Arial"/>
          <w:sz w:val="22"/>
          <w:szCs w:val="22"/>
        </w:rPr>
        <w:t>.</w:t>
      </w:r>
    </w:p>
    <w:p w14:paraId="16BB383E" w14:textId="77777777" w:rsidR="008E3A23" w:rsidRPr="00981F75" w:rsidRDefault="008E3A23" w:rsidP="00C47B26">
      <w:pPr>
        <w:pStyle w:val="NormalWeb"/>
        <w:spacing w:before="0" w:beforeAutospacing="0" w:after="120" w:afterAutospacing="0" w:line="264" w:lineRule="auto"/>
        <w:jc w:val="both"/>
        <w:rPr>
          <w:rFonts w:ascii="Arial" w:hAnsi="Arial" w:cs="Arial"/>
          <w:sz w:val="22"/>
          <w:szCs w:val="22"/>
        </w:rPr>
      </w:pPr>
    </w:p>
    <w:p w14:paraId="728BC394" w14:textId="47BA398A" w:rsidR="00EF2EC6" w:rsidRPr="00981F75" w:rsidRDefault="000C1146" w:rsidP="00EF2EC6">
      <w:pPr>
        <w:pStyle w:val="NormalWeb"/>
        <w:numPr>
          <w:ilvl w:val="0"/>
          <w:numId w:val="5"/>
        </w:numPr>
        <w:spacing w:before="0" w:beforeAutospacing="0" w:after="120" w:afterAutospacing="0" w:line="264" w:lineRule="auto"/>
        <w:jc w:val="both"/>
        <w:rPr>
          <w:rFonts w:ascii="Arial" w:hAnsi="Arial" w:cs="Arial"/>
          <w:i/>
          <w:sz w:val="22"/>
          <w:szCs w:val="22"/>
          <w:u w:val="single"/>
        </w:rPr>
      </w:pPr>
      <w:r w:rsidRPr="00981F75">
        <w:rPr>
          <w:rFonts w:ascii="Arial" w:hAnsi="Arial" w:cs="Arial"/>
          <w:i/>
          <w:sz w:val="22"/>
          <w:szCs w:val="22"/>
          <w:u w:val="single"/>
        </w:rPr>
        <w:t xml:space="preserve">Digitalizacija i inovacije su </w:t>
      </w:r>
      <w:r w:rsidR="00C330CE" w:rsidRPr="00C330CE">
        <w:rPr>
          <w:rFonts w:ascii="Arial" w:hAnsi="Arial" w:cs="Arial"/>
          <w:i/>
          <w:sz w:val="22"/>
          <w:szCs w:val="22"/>
          <w:u w:val="single"/>
        </w:rPr>
        <w:t xml:space="preserve">čvrsto integrirane </w:t>
      </w:r>
      <w:r w:rsidRPr="00C330CE">
        <w:rPr>
          <w:rFonts w:ascii="Arial" w:hAnsi="Arial" w:cs="Arial"/>
          <w:i/>
          <w:sz w:val="22"/>
          <w:szCs w:val="22"/>
          <w:u w:val="single"/>
        </w:rPr>
        <w:t>u organizaciju</w:t>
      </w:r>
      <w:r w:rsidR="00981F75">
        <w:rPr>
          <w:rFonts w:ascii="Arial" w:hAnsi="Arial" w:cs="Arial"/>
          <w:i/>
          <w:sz w:val="22"/>
          <w:szCs w:val="22"/>
          <w:u w:val="single"/>
        </w:rPr>
        <w:t xml:space="preserve"> </w:t>
      </w:r>
    </w:p>
    <w:p w14:paraId="28AA5D2B" w14:textId="7AAEC3DE" w:rsidR="000C1146" w:rsidRPr="00981F75" w:rsidRDefault="000C1146" w:rsidP="00EF2EC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je usmjeren na povećanje učinkovitosti i profitabilnosti zahvaljujući, između ostalog, digitalnim alatima u strateškim područjima poslovanja. Digitalizacija i inovacije </w:t>
      </w:r>
      <w:r w:rsidR="00C330CE">
        <w:rPr>
          <w:rFonts w:ascii="Arial" w:hAnsi="Arial" w:cs="Arial"/>
          <w:sz w:val="22"/>
          <w:szCs w:val="22"/>
        </w:rPr>
        <w:t>čvrsto</w:t>
      </w:r>
      <w:r w:rsidRPr="00981F75">
        <w:rPr>
          <w:rFonts w:ascii="Arial" w:hAnsi="Arial" w:cs="Arial"/>
          <w:sz w:val="22"/>
          <w:szCs w:val="22"/>
        </w:rPr>
        <w:t xml:space="preserve"> su </w:t>
      </w:r>
      <w:r w:rsidR="00C330CE">
        <w:rPr>
          <w:rFonts w:ascii="Arial" w:hAnsi="Arial" w:cs="Arial"/>
          <w:sz w:val="22"/>
          <w:szCs w:val="22"/>
        </w:rPr>
        <w:t xml:space="preserve">integrirane </w:t>
      </w:r>
      <w:r w:rsidRPr="00981F75">
        <w:rPr>
          <w:rFonts w:ascii="Arial" w:hAnsi="Arial" w:cs="Arial"/>
          <w:sz w:val="22"/>
          <w:szCs w:val="22"/>
        </w:rPr>
        <w:t>u organizaciju i to zahvaljujući internom centru izvrsnosti - Studenac Digital. Menadžment vjeruje da nova rješenja, poput naprednih alata za analitiku u određivanju cijena i promocija, omogućuju Studencu konkurentsku prednost na lokalnom tržištu.</w:t>
      </w:r>
    </w:p>
    <w:p w14:paraId="595561E8" w14:textId="4FD92DDE" w:rsidR="009237D7" w:rsidRPr="00981F75" w:rsidRDefault="00CA2AEA" w:rsidP="009237D7">
      <w:pPr>
        <w:pStyle w:val="NormalWeb"/>
        <w:spacing w:before="0" w:beforeAutospacing="0" w:after="120" w:afterAutospacing="0" w:line="264" w:lineRule="auto"/>
        <w:jc w:val="both"/>
        <w:rPr>
          <w:rFonts w:ascii="Arial" w:hAnsi="Arial" w:cs="Arial"/>
          <w:sz w:val="22"/>
          <w:szCs w:val="22"/>
        </w:rPr>
      </w:pPr>
      <w:r>
        <w:rPr>
          <w:rFonts w:ascii="Arial" w:hAnsi="Arial" w:cs="Arial"/>
          <w:sz w:val="22"/>
          <w:szCs w:val="22"/>
        </w:rPr>
        <w:t>O</w:t>
      </w:r>
      <w:r w:rsidR="000C1146" w:rsidRPr="00981F75">
        <w:rPr>
          <w:rFonts w:ascii="Arial" w:hAnsi="Arial" w:cs="Arial"/>
          <w:sz w:val="22"/>
          <w:szCs w:val="22"/>
        </w:rPr>
        <w:t>dobrenje za otvaranje trgovina na novim lokacijama u Studencu</w:t>
      </w:r>
      <w:r w:rsidR="00094F7C">
        <w:rPr>
          <w:rFonts w:ascii="Arial" w:hAnsi="Arial" w:cs="Arial"/>
          <w:sz w:val="22"/>
          <w:szCs w:val="22"/>
        </w:rPr>
        <w:t xml:space="preserve"> je</w:t>
      </w:r>
      <w:r w:rsidR="000C1146" w:rsidRPr="00981F75">
        <w:rPr>
          <w:rFonts w:ascii="Arial" w:hAnsi="Arial" w:cs="Arial"/>
          <w:sz w:val="22"/>
          <w:szCs w:val="22"/>
        </w:rPr>
        <w:t xml:space="preserve"> utemeljeno na podacima i to zahvaljujući naprednom alatu za procjenu lokacija. Alat se zasniva na automatiziranim preporukama za procjenu lokacija, a koristi i strojno učenje za precizniju identifikaciju prikladnih lokacija za nove trgovine. Zahvaljujući takvom alatu, otvaranje novih trgovina je brže i učinkovitije.</w:t>
      </w:r>
      <w:r w:rsidR="009237D7">
        <w:rPr>
          <w:rFonts w:ascii="Arial" w:hAnsi="Arial" w:cs="Arial"/>
          <w:sz w:val="22"/>
          <w:szCs w:val="22"/>
        </w:rPr>
        <w:t xml:space="preserve"> </w:t>
      </w:r>
      <w:r w:rsidR="00301D0E">
        <w:rPr>
          <w:rFonts w:ascii="Arial" w:hAnsi="Arial" w:cs="Arial"/>
          <w:sz w:val="22"/>
          <w:szCs w:val="22"/>
        </w:rPr>
        <w:t xml:space="preserve">Zatvoren je mali broj trgovina </w:t>
      </w:r>
      <w:r w:rsidR="009237D7">
        <w:rPr>
          <w:rFonts w:ascii="Arial" w:hAnsi="Arial" w:cs="Arial"/>
          <w:sz w:val="22"/>
          <w:szCs w:val="22"/>
        </w:rPr>
        <w:t xml:space="preserve">otvorenih nakon 2018. godine. </w:t>
      </w:r>
    </w:p>
    <w:p w14:paraId="3BE2BCB7" w14:textId="41C2A3C3" w:rsidR="00172486" w:rsidRPr="00981F75" w:rsidRDefault="00172486" w:rsidP="00EF2EC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namjerava nastaviti razvijati svoju logistiku i opskrbni lanac kako bi unaprijedio kvalitetu svježih proizvoda i njihovu dostupnost na policama te skratio vrijeme isporuke u trgovine. Poboljšanje kvalitete svježih proizvoda ključni je čimbenik u strategiji Studenca koja </w:t>
      </w:r>
      <w:r w:rsidR="007F2233">
        <w:rPr>
          <w:rFonts w:ascii="Arial" w:hAnsi="Arial" w:cs="Arial"/>
          <w:sz w:val="22"/>
          <w:szCs w:val="22"/>
        </w:rPr>
        <w:t xml:space="preserve">je usmjerena na </w:t>
      </w:r>
      <w:r w:rsidRPr="00981F75">
        <w:rPr>
          <w:rFonts w:ascii="Arial" w:hAnsi="Arial" w:cs="Arial"/>
          <w:sz w:val="22"/>
          <w:szCs w:val="22"/>
        </w:rPr>
        <w:t>povećanje udjela svježih proizvoda u prodajnom asortimanu</w:t>
      </w:r>
      <w:r w:rsidR="007F2233">
        <w:rPr>
          <w:rFonts w:ascii="Arial" w:hAnsi="Arial" w:cs="Arial"/>
          <w:sz w:val="22"/>
          <w:szCs w:val="22"/>
        </w:rPr>
        <w:t xml:space="preserve"> s ciljem </w:t>
      </w:r>
      <w:r w:rsidRPr="00981F75">
        <w:rPr>
          <w:rFonts w:ascii="Arial" w:hAnsi="Arial" w:cs="Arial"/>
          <w:sz w:val="22"/>
          <w:szCs w:val="22"/>
        </w:rPr>
        <w:t>poboljšanj</w:t>
      </w:r>
      <w:r w:rsidR="007F2233">
        <w:rPr>
          <w:rFonts w:ascii="Arial" w:hAnsi="Arial" w:cs="Arial"/>
          <w:sz w:val="22"/>
          <w:szCs w:val="22"/>
        </w:rPr>
        <w:t>a</w:t>
      </w:r>
      <w:r w:rsidRPr="00981F75">
        <w:rPr>
          <w:rFonts w:ascii="Arial" w:hAnsi="Arial" w:cs="Arial"/>
          <w:sz w:val="22"/>
          <w:szCs w:val="22"/>
        </w:rPr>
        <w:t xml:space="preserve"> marže i pokreta</w:t>
      </w:r>
      <w:r w:rsidR="007F2233">
        <w:rPr>
          <w:rFonts w:ascii="Arial" w:hAnsi="Arial" w:cs="Arial"/>
          <w:sz w:val="22"/>
          <w:szCs w:val="22"/>
        </w:rPr>
        <w:t>nja</w:t>
      </w:r>
      <w:r w:rsidRPr="00981F75">
        <w:rPr>
          <w:rFonts w:ascii="Arial" w:hAnsi="Arial" w:cs="Arial"/>
          <w:sz w:val="22"/>
          <w:szCs w:val="22"/>
        </w:rPr>
        <w:t xml:space="preserve"> LFL rasta.</w:t>
      </w:r>
    </w:p>
    <w:p w14:paraId="76F874B1" w14:textId="0A826C2C" w:rsidR="00172486" w:rsidRPr="00981F75" w:rsidRDefault="00172486" w:rsidP="00EF2EC6">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 xml:space="preserve">Studenac je u procesu transformacije i centralizacije svoje logističke strukture kako bi podržao rast i poboljšao profitabilnost. Kompanija planira udvostručiti udio centraliziranih isporuka s 33 </w:t>
      </w:r>
      <w:r w:rsidRPr="00981F75">
        <w:rPr>
          <w:rFonts w:ascii="Arial" w:hAnsi="Arial" w:cs="Arial"/>
          <w:sz w:val="22"/>
          <w:szCs w:val="22"/>
        </w:rPr>
        <w:lastRenderedPageBreak/>
        <w:t>posto u 2023. na 65 posto do 2028. godine, čime će povećati učinkovitost i profitabilnost. To će postići i pregovorima o boljim uvjetima s dobavljačima.</w:t>
      </w:r>
    </w:p>
    <w:p w14:paraId="068E9CA8" w14:textId="77777777" w:rsidR="00EB649E" w:rsidRPr="00981F75" w:rsidRDefault="00EB649E" w:rsidP="00C47B26">
      <w:pPr>
        <w:pStyle w:val="NormalWeb"/>
        <w:spacing w:before="0" w:beforeAutospacing="0" w:after="120" w:afterAutospacing="0" w:line="264" w:lineRule="auto"/>
        <w:jc w:val="both"/>
        <w:rPr>
          <w:rFonts w:ascii="Arial" w:hAnsi="Arial" w:cs="Arial"/>
          <w:sz w:val="22"/>
          <w:szCs w:val="22"/>
        </w:rPr>
      </w:pPr>
    </w:p>
    <w:p w14:paraId="1C6EDD70" w14:textId="151C00A4" w:rsidR="00EF2EC6" w:rsidRPr="00981F75" w:rsidRDefault="00D874A3" w:rsidP="00EF2EC6">
      <w:pPr>
        <w:pStyle w:val="NormalWeb"/>
        <w:numPr>
          <w:ilvl w:val="0"/>
          <w:numId w:val="5"/>
        </w:numPr>
        <w:spacing w:before="0" w:beforeAutospacing="0" w:after="120" w:afterAutospacing="0" w:line="264" w:lineRule="auto"/>
        <w:jc w:val="both"/>
        <w:rPr>
          <w:rFonts w:ascii="Arial" w:hAnsi="Arial" w:cs="Arial"/>
          <w:i/>
          <w:iCs/>
          <w:sz w:val="22"/>
          <w:szCs w:val="22"/>
          <w:u w:val="single"/>
        </w:rPr>
      </w:pPr>
      <w:r w:rsidRPr="00981F75">
        <w:rPr>
          <w:rFonts w:ascii="Arial" w:hAnsi="Arial" w:cs="Arial"/>
          <w:i/>
          <w:iCs/>
          <w:sz w:val="22"/>
          <w:szCs w:val="22"/>
          <w:u w:val="single"/>
        </w:rPr>
        <w:t>Posvećenost Studenca ESG-u</w:t>
      </w:r>
      <w:r w:rsidR="00EF2EC6" w:rsidRPr="00981F75">
        <w:rPr>
          <w:rFonts w:ascii="Arial" w:hAnsi="Arial" w:cs="Arial"/>
          <w:i/>
          <w:iCs/>
          <w:sz w:val="22"/>
          <w:szCs w:val="22"/>
          <w:u w:val="single"/>
        </w:rPr>
        <w:t xml:space="preserve"> </w:t>
      </w:r>
    </w:p>
    <w:p w14:paraId="7AD0A5CB" w14:textId="77777777" w:rsidR="00094F7C" w:rsidRDefault="00A30E04" w:rsidP="003C1906">
      <w:pPr>
        <w:pStyle w:val="NormalWeb"/>
        <w:spacing w:after="120" w:line="264" w:lineRule="auto"/>
        <w:jc w:val="both"/>
        <w:rPr>
          <w:rFonts w:ascii="Arial" w:hAnsi="Arial" w:cs="Arial"/>
          <w:sz w:val="22"/>
          <w:szCs w:val="22"/>
        </w:rPr>
      </w:pPr>
      <w:r w:rsidRPr="00981F75">
        <w:rPr>
          <w:rFonts w:ascii="Arial" w:hAnsi="Arial" w:cs="Arial"/>
          <w:sz w:val="22"/>
          <w:szCs w:val="22"/>
        </w:rPr>
        <w:t>Studenac je ekološki osviještena organizacija usmjerena na smanjenje svog ugljičnog otiska. To planira postići inicijativama za uštedu energije te korištenjem obnovljivih izvora energije. Od 2021. godine, Studenac posjeduje ZelEn (zelena energija) certifikat. To znači da 90 posto energije koju kompanija koristi, dolazi iz obnovljivih izvora energije kupljenih od HEP Grupe.</w:t>
      </w:r>
      <w:r w:rsidR="003C1906">
        <w:rPr>
          <w:rFonts w:ascii="Arial" w:hAnsi="Arial" w:cs="Arial"/>
          <w:sz w:val="22"/>
          <w:szCs w:val="22"/>
        </w:rPr>
        <w:t xml:space="preserve">  </w:t>
      </w:r>
    </w:p>
    <w:p w14:paraId="11A3DCCF" w14:textId="31754A11" w:rsidR="00A30E04" w:rsidRPr="00981F75" w:rsidRDefault="00A30E04" w:rsidP="003C1906">
      <w:pPr>
        <w:pStyle w:val="NormalWeb"/>
        <w:spacing w:after="120" w:line="264" w:lineRule="auto"/>
        <w:jc w:val="both"/>
        <w:rPr>
          <w:rFonts w:ascii="Arial" w:hAnsi="Arial" w:cs="Arial"/>
          <w:sz w:val="22"/>
          <w:szCs w:val="22"/>
        </w:rPr>
      </w:pPr>
      <w:r w:rsidRPr="00981F75">
        <w:rPr>
          <w:rFonts w:ascii="Arial" w:hAnsi="Arial" w:cs="Arial"/>
          <w:sz w:val="22"/>
          <w:szCs w:val="22"/>
        </w:rPr>
        <w:t>Inicijative za očuvanje biološke raznolikosti Studenca uključuju projekt „Korak bliže prirodi“, pokrenut 2020.</w:t>
      </w:r>
      <w:r w:rsidR="00094F7C">
        <w:rPr>
          <w:rFonts w:ascii="Arial" w:hAnsi="Arial" w:cs="Arial"/>
          <w:sz w:val="22"/>
          <w:szCs w:val="22"/>
        </w:rPr>
        <w:t>,</w:t>
      </w:r>
      <w:r w:rsidRPr="00981F75">
        <w:rPr>
          <w:rFonts w:ascii="Arial" w:hAnsi="Arial" w:cs="Arial"/>
          <w:sz w:val="22"/>
          <w:szCs w:val="22"/>
        </w:rPr>
        <w:t xml:space="preserve"> kroz koji provodi akcije čišćenja mora duž jadranske obale te poticanja urbane bioraznolikosti. U sklopu projekta Studenac je pokrenuo i inicijativu za zaštitu podzemnih voda. </w:t>
      </w:r>
    </w:p>
    <w:p w14:paraId="04F6717C" w14:textId="107A343F" w:rsidR="00A30E04" w:rsidRPr="00981F75" w:rsidRDefault="00A30E04" w:rsidP="00A30E04">
      <w:pPr>
        <w:pStyle w:val="NormalWeb"/>
        <w:spacing w:before="0" w:beforeAutospacing="0" w:after="120" w:afterAutospacing="0" w:line="264" w:lineRule="auto"/>
        <w:jc w:val="both"/>
        <w:rPr>
          <w:rFonts w:ascii="Arial" w:hAnsi="Arial" w:cs="Arial"/>
          <w:sz w:val="22"/>
          <w:szCs w:val="22"/>
        </w:rPr>
      </w:pPr>
      <w:r w:rsidRPr="00981F75">
        <w:rPr>
          <w:rFonts w:ascii="Arial" w:hAnsi="Arial" w:cs="Arial"/>
          <w:sz w:val="22"/>
          <w:szCs w:val="22"/>
        </w:rPr>
        <w:t>Društvene inicijative Studenca usmjerene su i na projekte za lokalnu zajednicu, što uključuje podršku nevladinim organizacijama kroz poticanje raznolikosti i uključivosti. Naime, Studenac je 2021. pokrenuo projekt „Korak bliže zajednici“ s ciljem podrške nevladinim organizacijama, socijalno ugroženim i ranjivim skupinama te djeci, kao i promocije zdravstvenih tema.</w:t>
      </w:r>
      <w:r w:rsidR="00981F75">
        <w:rPr>
          <w:rFonts w:ascii="Arial" w:hAnsi="Arial" w:cs="Arial"/>
          <w:sz w:val="22"/>
          <w:szCs w:val="22"/>
        </w:rPr>
        <w:t xml:space="preserve"> </w:t>
      </w:r>
    </w:p>
    <w:p w14:paraId="70C1CD43" w14:textId="4C1614D5" w:rsidR="00C35015" w:rsidRPr="00DD3BE9" w:rsidRDefault="00C35015" w:rsidP="00300372">
      <w:pPr>
        <w:pStyle w:val="NormalWeb"/>
        <w:spacing w:after="120" w:line="264" w:lineRule="auto"/>
        <w:jc w:val="both"/>
        <w:rPr>
          <w:rFonts w:ascii="Arial" w:hAnsi="Arial" w:cs="Arial"/>
          <w:sz w:val="22"/>
          <w:szCs w:val="22"/>
        </w:rPr>
      </w:pPr>
      <w:r w:rsidRPr="00DD3BE9">
        <w:rPr>
          <w:rFonts w:ascii="Arial" w:hAnsi="Arial" w:cs="Arial"/>
          <w:sz w:val="22"/>
          <w:szCs w:val="22"/>
        </w:rPr>
        <w:t xml:space="preserve">Studenac je također posvećen održavanju visokih standarda korporativnog upravljanja. Konkretno, pridržavat će se Kodeksa korporativnog upravljanja Varšavske burze (WSE Best Practices) i Kodeksa korporativnog upravljanja Zagrebačke burze. Tri člana Nadzornog odbora </w:t>
      </w:r>
      <w:r w:rsidR="006B6A6E" w:rsidRPr="00DD3BE9">
        <w:rPr>
          <w:rFonts w:ascii="Arial" w:hAnsi="Arial" w:cs="Arial"/>
          <w:sz w:val="22"/>
          <w:szCs w:val="22"/>
        </w:rPr>
        <w:t>Studenca</w:t>
      </w:r>
      <w:r w:rsidRPr="00DD3BE9">
        <w:rPr>
          <w:rFonts w:ascii="Arial" w:hAnsi="Arial" w:cs="Arial"/>
          <w:sz w:val="22"/>
          <w:szCs w:val="22"/>
        </w:rPr>
        <w:t xml:space="preserve"> ispunjavaju kriterije neovisnosti opisane u </w:t>
      </w:r>
      <w:r w:rsidR="006B6A6E" w:rsidRPr="00DD3BE9">
        <w:rPr>
          <w:rFonts w:ascii="Arial" w:hAnsi="Arial" w:cs="Arial"/>
          <w:sz w:val="22"/>
          <w:szCs w:val="22"/>
        </w:rPr>
        <w:t>dokumentu WSE Best Practices</w:t>
      </w:r>
      <w:r w:rsidRPr="00DD3BE9">
        <w:rPr>
          <w:rFonts w:ascii="Arial" w:hAnsi="Arial" w:cs="Arial"/>
          <w:sz w:val="22"/>
          <w:szCs w:val="22"/>
        </w:rPr>
        <w:t>.</w:t>
      </w:r>
    </w:p>
    <w:p w14:paraId="3D97DF76" w14:textId="77777777" w:rsidR="00B85448" w:rsidRPr="00DD3BE9" w:rsidRDefault="00B85448" w:rsidP="004A7C57">
      <w:pPr>
        <w:pStyle w:val="NormalWeb"/>
        <w:spacing w:before="0" w:beforeAutospacing="0" w:after="120" w:afterAutospacing="0" w:line="264" w:lineRule="auto"/>
        <w:jc w:val="both"/>
        <w:rPr>
          <w:rFonts w:ascii="Arial" w:hAnsi="Arial" w:cs="Arial"/>
          <w:b/>
          <w:bCs/>
          <w:sz w:val="22"/>
          <w:szCs w:val="22"/>
        </w:rPr>
      </w:pPr>
    </w:p>
    <w:p w14:paraId="29275E20" w14:textId="479BC315" w:rsidR="004A7C57" w:rsidRPr="00981F75" w:rsidRDefault="00D0272C" w:rsidP="004A7C57">
      <w:pPr>
        <w:pStyle w:val="NormalWeb"/>
        <w:spacing w:before="0" w:beforeAutospacing="0" w:after="120" w:afterAutospacing="0" w:line="264" w:lineRule="auto"/>
        <w:jc w:val="both"/>
        <w:rPr>
          <w:rFonts w:ascii="Arial" w:hAnsi="Arial" w:cs="Arial"/>
          <w:b/>
          <w:bCs/>
          <w:sz w:val="22"/>
          <w:szCs w:val="22"/>
        </w:rPr>
      </w:pPr>
      <w:r w:rsidRPr="00DD3BE9">
        <w:rPr>
          <w:rFonts w:ascii="Arial" w:hAnsi="Arial" w:cs="Arial"/>
          <w:b/>
          <w:bCs/>
          <w:sz w:val="22"/>
          <w:szCs w:val="22"/>
        </w:rPr>
        <w:t>Ključni f</w:t>
      </w:r>
      <w:r w:rsidR="00124EEB" w:rsidRPr="00DD3BE9">
        <w:rPr>
          <w:rFonts w:ascii="Arial" w:hAnsi="Arial" w:cs="Arial"/>
          <w:b/>
          <w:bCs/>
          <w:sz w:val="22"/>
          <w:szCs w:val="22"/>
        </w:rPr>
        <w:t>inancijski pokazatelji</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2321"/>
        <w:gridCol w:w="1122"/>
        <w:gridCol w:w="1123"/>
        <w:gridCol w:w="1122"/>
        <w:gridCol w:w="1123"/>
        <w:gridCol w:w="1122"/>
        <w:gridCol w:w="1123"/>
      </w:tblGrid>
      <w:tr w:rsidR="001629B8" w:rsidRPr="00981F75" w14:paraId="11663D2B" w14:textId="77777777" w:rsidTr="00FB54DF">
        <w:tc>
          <w:tcPr>
            <w:tcW w:w="2321" w:type="dxa"/>
            <w:tcBorders>
              <w:top w:val="single" w:sz="12" w:space="0" w:color="239B11"/>
              <w:bottom w:val="single" w:sz="12" w:space="0" w:color="239B11"/>
              <w:right w:val="single" w:sz="12" w:space="0" w:color="239B11"/>
            </w:tcBorders>
            <w:vAlign w:val="center"/>
          </w:tcPr>
          <w:p w14:paraId="2892DEEE" w14:textId="3D670DCE" w:rsidR="001629B8" w:rsidRPr="00981F75" w:rsidRDefault="001629B8" w:rsidP="00FB54DF">
            <w:pPr>
              <w:pStyle w:val="NormalWeb"/>
              <w:spacing w:before="0" w:beforeAutospacing="0" w:after="0" w:afterAutospacing="0" w:line="264" w:lineRule="auto"/>
              <w:rPr>
                <w:rFonts w:ascii="Arial" w:hAnsi="Arial" w:cs="Arial"/>
                <w:b/>
                <w:bCs/>
                <w:sz w:val="20"/>
                <w:szCs w:val="20"/>
              </w:rPr>
            </w:pPr>
            <w:r w:rsidRPr="00981F75">
              <w:rPr>
                <w:rFonts w:ascii="Arial" w:hAnsi="Arial" w:cs="Arial"/>
                <w:b/>
                <w:bCs/>
                <w:sz w:val="20"/>
                <w:szCs w:val="20"/>
              </w:rPr>
              <w:t>(u milijunima, euri)</w:t>
            </w:r>
          </w:p>
        </w:tc>
        <w:tc>
          <w:tcPr>
            <w:tcW w:w="1122" w:type="dxa"/>
            <w:tcBorders>
              <w:top w:val="single" w:sz="12" w:space="0" w:color="239B11"/>
              <w:left w:val="single" w:sz="12" w:space="0" w:color="239B11"/>
              <w:bottom w:val="single" w:sz="12" w:space="0" w:color="239B11"/>
            </w:tcBorders>
            <w:vAlign w:val="center"/>
          </w:tcPr>
          <w:p w14:paraId="257F2BF3" w14:textId="35897712"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2021.</w:t>
            </w:r>
          </w:p>
        </w:tc>
        <w:tc>
          <w:tcPr>
            <w:tcW w:w="1123" w:type="dxa"/>
            <w:tcBorders>
              <w:top w:val="single" w:sz="12" w:space="0" w:color="239B11"/>
              <w:bottom w:val="single" w:sz="12" w:space="0" w:color="239B11"/>
            </w:tcBorders>
            <w:vAlign w:val="center"/>
          </w:tcPr>
          <w:p w14:paraId="1AC5DACD" w14:textId="75A9C235"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2022.</w:t>
            </w:r>
          </w:p>
        </w:tc>
        <w:tc>
          <w:tcPr>
            <w:tcW w:w="1122" w:type="dxa"/>
            <w:tcBorders>
              <w:top w:val="single" w:sz="12" w:space="0" w:color="239B11"/>
              <w:bottom w:val="single" w:sz="12" w:space="0" w:color="239B11"/>
              <w:right w:val="single" w:sz="12" w:space="0" w:color="239B11"/>
            </w:tcBorders>
            <w:vAlign w:val="center"/>
          </w:tcPr>
          <w:p w14:paraId="3367B5ED" w14:textId="0C8C4ED6"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2023.</w:t>
            </w:r>
          </w:p>
        </w:tc>
        <w:tc>
          <w:tcPr>
            <w:tcW w:w="1123" w:type="dxa"/>
            <w:tcBorders>
              <w:top w:val="single" w:sz="12" w:space="0" w:color="239B11"/>
              <w:left w:val="single" w:sz="12" w:space="0" w:color="239B11"/>
              <w:bottom w:val="single" w:sz="12" w:space="0" w:color="239B11"/>
            </w:tcBorders>
            <w:vAlign w:val="center"/>
          </w:tcPr>
          <w:p w14:paraId="2CBB1B91" w14:textId="7DB92AA6"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8M 2023.</w:t>
            </w:r>
          </w:p>
        </w:tc>
        <w:tc>
          <w:tcPr>
            <w:tcW w:w="1122" w:type="dxa"/>
            <w:tcBorders>
              <w:top w:val="single" w:sz="12" w:space="0" w:color="239B11"/>
              <w:bottom w:val="single" w:sz="12" w:space="0" w:color="239B11"/>
            </w:tcBorders>
            <w:vAlign w:val="center"/>
          </w:tcPr>
          <w:p w14:paraId="211D54AE" w14:textId="43A62A60"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8M 2024.</w:t>
            </w:r>
          </w:p>
        </w:tc>
        <w:tc>
          <w:tcPr>
            <w:tcW w:w="1123" w:type="dxa"/>
            <w:tcBorders>
              <w:top w:val="single" w:sz="12" w:space="0" w:color="239B11"/>
              <w:bottom w:val="single" w:sz="12" w:space="0" w:color="239B11"/>
            </w:tcBorders>
          </w:tcPr>
          <w:p w14:paraId="7D466A3A" w14:textId="58B47951" w:rsidR="001629B8" w:rsidRPr="00981F75" w:rsidRDefault="001629B8" w:rsidP="00FB54DF">
            <w:pPr>
              <w:pStyle w:val="NormalWeb"/>
              <w:spacing w:before="0" w:beforeAutospacing="0" w:after="0" w:afterAutospacing="0" w:line="264" w:lineRule="auto"/>
              <w:jc w:val="right"/>
              <w:rPr>
                <w:rFonts w:ascii="Arial" w:hAnsi="Arial" w:cs="Arial"/>
                <w:b/>
                <w:bCs/>
                <w:sz w:val="20"/>
                <w:szCs w:val="20"/>
              </w:rPr>
            </w:pPr>
            <w:r w:rsidRPr="00981F75">
              <w:rPr>
                <w:rFonts w:ascii="Arial" w:hAnsi="Arial" w:cs="Arial"/>
                <w:b/>
                <w:bCs/>
                <w:sz w:val="20"/>
                <w:szCs w:val="20"/>
              </w:rPr>
              <w:t>8M 2024. pro forma</w:t>
            </w:r>
            <w:r w:rsidRPr="00981F75">
              <w:rPr>
                <w:rStyle w:val="FootnoteReference"/>
                <w:rFonts w:ascii="Arial" w:hAnsi="Arial" w:cs="Arial"/>
                <w:b/>
                <w:bCs/>
                <w:sz w:val="20"/>
                <w:szCs w:val="20"/>
              </w:rPr>
              <w:footnoteReference w:id="5"/>
            </w:r>
            <w:r w:rsidRPr="00981F75">
              <w:rPr>
                <w:rFonts w:ascii="Arial" w:hAnsi="Arial" w:cs="Arial"/>
                <w:b/>
                <w:bCs/>
                <w:sz w:val="20"/>
                <w:szCs w:val="20"/>
              </w:rPr>
              <w:t xml:space="preserve"> </w:t>
            </w:r>
          </w:p>
        </w:tc>
      </w:tr>
      <w:tr w:rsidR="001629B8" w:rsidRPr="00981F75" w14:paraId="4981208D" w14:textId="77777777" w:rsidTr="00FB54DF">
        <w:tc>
          <w:tcPr>
            <w:tcW w:w="2321" w:type="dxa"/>
            <w:tcBorders>
              <w:top w:val="single" w:sz="12" w:space="0" w:color="239B11"/>
              <w:right w:val="single" w:sz="12" w:space="0" w:color="239B11"/>
            </w:tcBorders>
            <w:vAlign w:val="center"/>
          </w:tcPr>
          <w:p w14:paraId="1A45451C" w14:textId="74A78C98" w:rsidR="001629B8" w:rsidRPr="00981F75" w:rsidRDefault="001629B8" w:rsidP="00FB54DF">
            <w:pPr>
              <w:pStyle w:val="NormalWeb"/>
              <w:spacing w:before="0" w:beforeAutospacing="0" w:after="0" w:afterAutospacing="0" w:line="264" w:lineRule="auto"/>
              <w:rPr>
                <w:rFonts w:ascii="Arial" w:hAnsi="Arial" w:cs="Arial"/>
                <w:sz w:val="20"/>
                <w:szCs w:val="20"/>
              </w:rPr>
            </w:pPr>
            <w:r w:rsidRPr="00981F75">
              <w:rPr>
                <w:rFonts w:ascii="Arial" w:hAnsi="Arial" w:cs="Arial"/>
                <w:sz w:val="20"/>
                <w:szCs w:val="20"/>
              </w:rPr>
              <w:t>Prihod</w:t>
            </w:r>
            <w:r w:rsidR="009237D7">
              <w:rPr>
                <w:rFonts w:ascii="Arial" w:hAnsi="Arial" w:cs="Arial"/>
                <w:sz w:val="20"/>
                <w:szCs w:val="20"/>
              </w:rPr>
              <w:t>i od prodaje</w:t>
            </w:r>
          </w:p>
        </w:tc>
        <w:tc>
          <w:tcPr>
            <w:tcW w:w="1122" w:type="dxa"/>
            <w:tcBorders>
              <w:top w:val="single" w:sz="12" w:space="0" w:color="239B11"/>
              <w:left w:val="single" w:sz="12" w:space="0" w:color="239B11"/>
            </w:tcBorders>
            <w:vAlign w:val="center"/>
          </w:tcPr>
          <w:p w14:paraId="6E78F645" w14:textId="56D45D6E"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309,5</w:t>
            </w:r>
          </w:p>
        </w:tc>
        <w:tc>
          <w:tcPr>
            <w:tcW w:w="1123" w:type="dxa"/>
            <w:tcBorders>
              <w:top w:val="single" w:sz="12" w:space="0" w:color="239B11"/>
            </w:tcBorders>
            <w:vAlign w:val="center"/>
          </w:tcPr>
          <w:p w14:paraId="318CB0A0" w14:textId="27CED089"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502,5</w:t>
            </w:r>
          </w:p>
        </w:tc>
        <w:tc>
          <w:tcPr>
            <w:tcW w:w="1122" w:type="dxa"/>
            <w:tcBorders>
              <w:top w:val="single" w:sz="12" w:space="0" w:color="239B11"/>
              <w:right w:val="single" w:sz="12" w:space="0" w:color="239B11"/>
            </w:tcBorders>
            <w:vAlign w:val="center"/>
          </w:tcPr>
          <w:p w14:paraId="7D60B1D4" w14:textId="07A50D00"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668,1</w:t>
            </w:r>
          </w:p>
        </w:tc>
        <w:tc>
          <w:tcPr>
            <w:tcW w:w="1123" w:type="dxa"/>
            <w:tcBorders>
              <w:top w:val="single" w:sz="12" w:space="0" w:color="239B11"/>
              <w:left w:val="single" w:sz="12" w:space="0" w:color="239B11"/>
            </w:tcBorders>
            <w:vAlign w:val="center"/>
          </w:tcPr>
          <w:p w14:paraId="01930BB4" w14:textId="5EF73C12"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465,1</w:t>
            </w:r>
          </w:p>
        </w:tc>
        <w:tc>
          <w:tcPr>
            <w:tcW w:w="1122" w:type="dxa"/>
            <w:tcBorders>
              <w:top w:val="single" w:sz="12" w:space="0" w:color="239B11"/>
            </w:tcBorders>
            <w:vAlign w:val="center"/>
          </w:tcPr>
          <w:p w14:paraId="0134AB45" w14:textId="1A29F075"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556,5</w:t>
            </w:r>
          </w:p>
        </w:tc>
        <w:tc>
          <w:tcPr>
            <w:tcW w:w="1123" w:type="dxa"/>
            <w:tcBorders>
              <w:top w:val="single" w:sz="12" w:space="0" w:color="239B11"/>
            </w:tcBorders>
            <w:vAlign w:val="center"/>
          </w:tcPr>
          <w:p w14:paraId="5C9B365B" w14:textId="02BFB15A"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608,8</w:t>
            </w:r>
          </w:p>
        </w:tc>
      </w:tr>
      <w:tr w:rsidR="001629B8" w:rsidRPr="00981F75" w14:paraId="62A6D33F" w14:textId="77777777" w:rsidTr="00FB54DF">
        <w:tc>
          <w:tcPr>
            <w:tcW w:w="2321" w:type="dxa"/>
            <w:tcBorders>
              <w:right w:val="single" w:sz="12" w:space="0" w:color="239B11"/>
            </w:tcBorders>
            <w:vAlign w:val="center"/>
          </w:tcPr>
          <w:p w14:paraId="79CAAA7E" w14:textId="3FF67E2E" w:rsidR="001629B8" w:rsidRPr="00981F75" w:rsidRDefault="001629B8" w:rsidP="00FB54DF">
            <w:pPr>
              <w:pStyle w:val="NormalWeb"/>
              <w:spacing w:before="0" w:beforeAutospacing="0" w:after="0" w:afterAutospacing="0" w:line="264" w:lineRule="auto"/>
              <w:rPr>
                <w:rFonts w:ascii="Arial" w:hAnsi="Arial" w:cs="Arial"/>
                <w:i/>
                <w:iCs/>
                <w:sz w:val="20"/>
                <w:szCs w:val="20"/>
              </w:rPr>
            </w:pPr>
            <w:r w:rsidRPr="00981F75">
              <w:rPr>
                <w:rFonts w:ascii="Arial" w:hAnsi="Arial" w:cs="Arial"/>
                <w:i/>
                <w:iCs/>
                <w:sz w:val="20"/>
                <w:szCs w:val="20"/>
              </w:rPr>
              <w:t>Rast prihoda</w:t>
            </w:r>
            <w:r w:rsidR="009237D7">
              <w:rPr>
                <w:rFonts w:ascii="Arial" w:hAnsi="Arial" w:cs="Arial"/>
                <w:i/>
                <w:iCs/>
                <w:sz w:val="20"/>
                <w:szCs w:val="20"/>
              </w:rPr>
              <w:t xml:space="preserve"> od prodaje</w:t>
            </w:r>
          </w:p>
        </w:tc>
        <w:tc>
          <w:tcPr>
            <w:tcW w:w="1122" w:type="dxa"/>
            <w:tcBorders>
              <w:left w:val="single" w:sz="12" w:space="0" w:color="239B11"/>
            </w:tcBorders>
            <w:vAlign w:val="center"/>
          </w:tcPr>
          <w:p w14:paraId="6EFBABD7" w14:textId="62C1EB7B"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15,1%</w:t>
            </w:r>
          </w:p>
        </w:tc>
        <w:tc>
          <w:tcPr>
            <w:tcW w:w="1123" w:type="dxa"/>
            <w:vAlign w:val="center"/>
          </w:tcPr>
          <w:p w14:paraId="47FC51EA" w14:textId="253362BD"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62,4%</w:t>
            </w:r>
          </w:p>
        </w:tc>
        <w:tc>
          <w:tcPr>
            <w:tcW w:w="1122" w:type="dxa"/>
            <w:tcBorders>
              <w:right w:val="single" w:sz="12" w:space="0" w:color="239B11"/>
            </w:tcBorders>
            <w:vAlign w:val="center"/>
          </w:tcPr>
          <w:p w14:paraId="35DF4CC2" w14:textId="57719821"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33,0%</w:t>
            </w:r>
          </w:p>
        </w:tc>
        <w:tc>
          <w:tcPr>
            <w:tcW w:w="1123" w:type="dxa"/>
            <w:tcBorders>
              <w:left w:val="single" w:sz="12" w:space="0" w:color="239B11"/>
            </w:tcBorders>
            <w:vAlign w:val="center"/>
          </w:tcPr>
          <w:p w14:paraId="529084A5" w14:textId="77777777"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w:t>
            </w:r>
          </w:p>
        </w:tc>
        <w:tc>
          <w:tcPr>
            <w:tcW w:w="1122" w:type="dxa"/>
            <w:vAlign w:val="center"/>
          </w:tcPr>
          <w:p w14:paraId="0D3D8370" w14:textId="03ABFC7E"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19,7%</w:t>
            </w:r>
          </w:p>
        </w:tc>
        <w:tc>
          <w:tcPr>
            <w:tcW w:w="1123" w:type="dxa"/>
            <w:vAlign w:val="center"/>
          </w:tcPr>
          <w:p w14:paraId="0BE81CD5" w14:textId="4AC4C243" w:rsidR="001629B8" w:rsidRPr="00981F75" w:rsidRDefault="00CA2AEA" w:rsidP="00FB54DF">
            <w:pPr>
              <w:pStyle w:val="NormalWeb"/>
              <w:spacing w:before="0" w:beforeAutospacing="0" w:after="0" w:afterAutospacing="0" w:line="264" w:lineRule="auto"/>
              <w:jc w:val="right"/>
              <w:rPr>
                <w:rFonts w:ascii="Arial" w:hAnsi="Arial" w:cs="Arial"/>
                <w:i/>
                <w:iCs/>
                <w:sz w:val="20"/>
                <w:szCs w:val="20"/>
              </w:rPr>
            </w:pPr>
            <w:r>
              <w:rPr>
                <w:rFonts w:ascii="Arial" w:hAnsi="Arial" w:cs="Arial"/>
                <w:i/>
                <w:iCs/>
                <w:sz w:val="20"/>
                <w:szCs w:val="20"/>
              </w:rPr>
              <w:t>-</w:t>
            </w:r>
          </w:p>
        </w:tc>
      </w:tr>
      <w:tr w:rsidR="001629B8" w:rsidRPr="00981F75" w14:paraId="5973639B" w14:textId="77777777" w:rsidTr="00FB54DF">
        <w:tc>
          <w:tcPr>
            <w:tcW w:w="2321" w:type="dxa"/>
            <w:tcBorders>
              <w:right w:val="single" w:sz="12" w:space="0" w:color="239B11"/>
            </w:tcBorders>
            <w:vAlign w:val="center"/>
          </w:tcPr>
          <w:p w14:paraId="3502F6BF" w14:textId="69CD83B8" w:rsidR="001629B8" w:rsidRPr="00981F75" w:rsidRDefault="001629B8" w:rsidP="00FB54DF">
            <w:pPr>
              <w:pStyle w:val="NormalWeb"/>
              <w:spacing w:before="0" w:beforeAutospacing="0" w:after="0" w:afterAutospacing="0" w:line="264" w:lineRule="auto"/>
              <w:rPr>
                <w:rFonts w:ascii="Arial" w:hAnsi="Arial" w:cs="Arial"/>
                <w:i/>
                <w:iCs/>
                <w:sz w:val="20"/>
                <w:szCs w:val="20"/>
              </w:rPr>
            </w:pPr>
            <w:r w:rsidRPr="00981F75">
              <w:rPr>
                <w:rFonts w:ascii="Arial" w:hAnsi="Arial" w:cs="Arial"/>
                <w:i/>
                <w:iCs/>
                <w:sz w:val="20"/>
                <w:szCs w:val="20"/>
              </w:rPr>
              <w:t>LFL rast</w:t>
            </w:r>
            <w:r w:rsidR="009237D7">
              <w:rPr>
                <w:rFonts w:ascii="Arial" w:hAnsi="Arial" w:cs="Arial"/>
                <w:i/>
                <w:iCs/>
                <w:sz w:val="20"/>
                <w:szCs w:val="20"/>
              </w:rPr>
              <w:t xml:space="preserve"> prodaje</w:t>
            </w:r>
          </w:p>
        </w:tc>
        <w:tc>
          <w:tcPr>
            <w:tcW w:w="1122" w:type="dxa"/>
            <w:tcBorders>
              <w:left w:val="single" w:sz="12" w:space="0" w:color="239B11"/>
            </w:tcBorders>
            <w:vAlign w:val="center"/>
          </w:tcPr>
          <w:p w14:paraId="4DC0D594" w14:textId="4758D2B3"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5,6%</w:t>
            </w:r>
          </w:p>
        </w:tc>
        <w:tc>
          <w:tcPr>
            <w:tcW w:w="1123" w:type="dxa"/>
            <w:vAlign w:val="center"/>
          </w:tcPr>
          <w:p w14:paraId="79CE6096" w14:textId="22E08912"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18,0%</w:t>
            </w:r>
          </w:p>
        </w:tc>
        <w:tc>
          <w:tcPr>
            <w:tcW w:w="1122" w:type="dxa"/>
            <w:tcBorders>
              <w:right w:val="single" w:sz="12" w:space="0" w:color="239B11"/>
            </w:tcBorders>
            <w:vAlign w:val="center"/>
          </w:tcPr>
          <w:p w14:paraId="7D5C41D1" w14:textId="1AEBBF94"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16,3%</w:t>
            </w:r>
          </w:p>
        </w:tc>
        <w:tc>
          <w:tcPr>
            <w:tcW w:w="1123" w:type="dxa"/>
            <w:tcBorders>
              <w:left w:val="single" w:sz="12" w:space="0" w:color="239B11"/>
            </w:tcBorders>
            <w:vAlign w:val="center"/>
          </w:tcPr>
          <w:p w14:paraId="5755DB59" w14:textId="424CB635" w:rsidR="001629B8" w:rsidRPr="00981F75" w:rsidRDefault="00F31F0B" w:rsidP="00FB54DF">
            <w:pPr>
              <w:pStyle w:val="NormalWeb"/>
              <w:spacing w:before="0" w:beforeAutospacing="0" w:after="0" w:afterAutospacing="0" w:line="264" w:lineRule="auto"/>
              <w:jc w:val="right"/>
              <w:rPr>
                <w:rFonts w:ascii="Arial" w:hAnsi="Arial" w:cs="Arial"/>
                <w:i/>
                <w:iCs/>
                <w:sz w:val="20"/>
                <w:szCs w:val="20"/>
                <w:highlight w:val="yellow"/>
              </w:rPr>
            </w:pPr>
            <w:r w:rsidRPr="00B01639">
              <w:rPr>
                <w:rFonts w:ascii="Arial" w:hAnsi="Arial" w:cs="Arial"/>
                <w:i/>
                <w:iCs/>
                <w:sz w:val="20"/>
                <w:szCs w:val="20"/>
              </w:rPr>
              <w:t>15,1%</w:t>
            </w:r>
          </w:p>
        </w:tc>
        <w:tc>
          <w:tcPr>
            <w:tcW w:w="1122" w:type="dxa"/>
            <w:vAlign w:val="center"/>
          </w:tcPr>
          <w:p w14:paraId="13CCB8E1" w14:textId="57FB4563"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13,1%</w:t>
            </w:r>
          </w:p>
        </w:tc>
        <w:tc>
          <w:tcPr>
            <w:tcW w:w="1123" w:type="dxa"/>
            <w:vAlign w:val="center"/>
          </w:tcPr>
          <w:p w14:paraId="2FDD5785" w14:textId="77777777"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w:t>
            </w:r>
          </w:p>
        </w:tc>
      </w:tr>
      <w:tr w:rsidR="001629B8" w:rsidRPr="00981F75" w14:paraId="6E5B4384" w14:textId="77777777" w:rsidTr="00FB54DF">
        <w:tc>
          <w:tcPr>
            <w:tcW w:w="2321" w:type="dxa"/>
            <w:tcBorders>
              <w:right w:val="single" w:sz="12" w:space="0" w:color="239B11"/>
            </w:tcBorders>
            <w:vAlign w:val="center"/>
          </w:tcPr>
          <w:p w14:paraId="3AC1066E" w14:textId="7E97BCD3" w:rsidR="00B20D76" w:rsidRPr="00981F75" w:rsidRDefault="00B20D76" w:rsidP="00B20D76">
            <w:pPr>
              <w:pStyle w:val="NormalWeb"/>
              <w:spacing w:before="0" w:beforeAutospacing="0" w:after="0" w:afterAutospacing="0" w:line="264" w:lineRule="auto"/>
              <w:rPr>
                <w:rFonts w:ascii="Arial" w:hAnsi="Arial" w:cs="Arial"/>
                <w:sz w:val="20"/>
                <w:szCs w:val="20"/>
              </w:rPr>
            </w:pPr>
            <w:r w:rsidRPr="00981F75">
              <w:rPr>
                <w:rFonts w:ascii="Arial" w:hAnsi="Arial" w:cs="Arial"/>
                <w:sz w:val="20"/>
                <w:szCs w:val="20"/>
              </w:rPr>
              <w:t>Bruto dobit od maloprodaje i veleprodaje</w:t>
            </w:r>
          </w:p>
        </w:tc>
        <w:tc>
          <w:tcPr>
            <w:tcW w:w="1122" w:type="dxa"/>
            <w:tcBorders>
              <w:left w:val="single" w:sz="12" w:space="0" w:color="239B11"/>
            </w:tcBorders>
            <w:vAlign w:val="center"/>
          </w:tcPr>
          <w:p w14:paraId="1A206AA0" w14:textId="26AD4E54"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92,7</w:t>
            </w:r>
          </w:p>
        </w:tc>
        <w:tc>
          <w:tcPr>
            <w:tcW w:w="1123" w:type="dxa"/>
            <w:vAlign w:val="center"/>
          </w:tcPr>
          <w:p w14:paraId="68A74C99" w14:textId="243CD850"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145,9</w:t>
            </w:r>
          </w:p>
        </w:tc>
        <w:tc>
          <w:tcPr>
            <w:tcW w:w="1122" w:type="dxa"/>
            <w:tcBorders>
              <w:right w:val="single" w:sz="12" w:space="0" w:color="239B11"/>
            </w:tcBorders>
            <w:vAlign w:val="center"/>
          </w:tcPr>
          <w:p w14:paraId="75326691" w14:textId="2FFE7E0A"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203,3</w:t>
            </w:r>
          </w:p>
        </w:tc>
        <w:tc>
          <w:tcPr>
            <w:tcW w:w="1123" w:type="dxa"/>
            <w:tcBorders>
              <w:left w:val="single" w:sz="12" w:space="0" w:color="239B11"/>
            </w:tcBorders>
            <w:vAlign w:val="center"/>
          </w:tcPr>
          <w:p w14:paraId="2995B27A" w14:textId="73A22C6F"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145,2</w:t>
            </w:r>
          </w:p>
        </w:tc>
        <w:tc>
          <w:tcPr>
            <w:tcW w:w="1122" w:type="dxa"/>
            <w:vAlign w:val="center"/>
          </w:tcPr>
          <w:p w14:paraId="6EECB813" w14:textId="23E9B3EE"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179,1</w:t>
            </w:r>
          </w:p>
        </w:tc>
        <w:tc>
          <w:tcPr>
            <w:tcW w:w="1123" w:type="dxa"/>
            <w:vAlign w:val="center"/>
          </w:tcPr>
          <w:p w14:paraId="0A5EB53B" w14:textId="77777777"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w:t>
            </w:r>
          </w:p>
        </w:tc>
      </w:tr>
      <w:tr w:rsidR="001629B8" w:rsidRPr="00981F75" w14:paraId="46081110" w14:textId="77777777" w:rsidTr="00FB54DF">
        <w:tc>
          <w:tcPr>
            <w:tcW w:w="2321" w:type="dxa"/>
            <w:tcBorders>
              <w:right w:val="single" w:sz="12" w:space="0" w:color="239B11"/>
            </w:tcBorders>
            <w:vAlign w:val="center"/>
          </w:tcPr>
          <w:p w14:paraId="3E3A09CD" w14:textId="104B9F91" w:rsidR="001629B8" w:rsidRPr="00981F75" w:rsidRDefault="00B20D76" w:rsidP="00FB54DF">
            <w:pPr>
              <w:pStyle w:val="NormalWeb"/>
              <w:spacing w:before="0" w:beforeAutospacing="0" w:after="0" w:afterAutospacing="0" w:line="264" w:lineRule="auto"/>
              <w:rPr>
                <w:rFonts w:ascii="Arial" w:hAnsi="Arial" w:cs="Arial"/>
                <w:i/>
                <w:iCs/>
                <w:sz w:val="20"/>
                <w:szCs w:val="20"/>
              </w:rPr>
            </w:pPr>
            <w:r w:rsidRPr="00981F75">
              <w:rPr>
                <w:rFonts w:ascii="Arial" w:hAnsi="Arial" w:cs="Arial"/>
                <w:i/>
                <w:iCs/>
                <w:sz w:val="20"/>
                <w:szCs w:val="20"/>
              </w:rPr>
              <w:t>Marža bruto dobiti</w:t>
            </w:r>
            <w:r w:rsidR="001629B8" w:rsidRPr="00981F75">
              <w:rPr>
                <w:rFonts w:ascii="Arial" w:hAnsi="Arial" w:cs="Arial"/>
                <w:i/>
                <w:iCs/>
                <w:sz w:val="20"/>
                <w:szCs w:val="20"/>
              </w:rPr>
              <w:t xml:space="preserve"> </w:t>
            </w:r>
            <w:r w:rsidRPr="00981F75">
              <w:rPr>
                <w:rFonts w:ascii="Arial" w:hAnsi="Arial" w:cs="Arial"/>
                <w:i/>
                <w:iCs/>
                <w:sz w:val="20"/>
                <w:szCs w:val="20"/>
              </w:rPr>
              <w:t>od maloprodaje i veleprodaje</w:t>
            </w:r>
          </w:p>
        </w:tc>
        <w:tc>
          <w:tcPr>
            <w:tcW w:w="1122" w:type="dxa"/>
            <w:tcBorders>
              <w:left w:val="single" w:sz="12" w:space="0" w:color="239B11"/>
            </w:tcBorders>
            <w:vAlign w:val="center"/>
          </w:tcPr>
          <w:p w14:paraId="5396D836" w14:textId="3BA08E3E"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32,0%</w:t>
            </w:r>
          </w:p>
        </w:tc>
        <w:tc>
          <w:tcPr>
            <w:tcW w:w="1123" w:type="dxa"/>
            <w:vAlign w:val="center"/>
          </w:tcPr>
          <w:p w14:paraId="5CF1682E" w14:textId="04CB5156"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30,8%</w:t>
            </w:r>
          </w:p>
        </w:tc>
        <w:tc>
          <w:tcPr>
            <w:tcW w:w="1122" w:type="dxa"/>
            <w:tcBorders>
              <w:right w:val="single" w:sz="12" w:space="0" w:color="239B11"/>
            </w:tcBorders>
            <w:vAlign w:val="center"/>
          </w:tcPr>
          <w:p w14:paraId="3436A160" w14:textId="0C052895"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32,7%</w:t>
            </w:r>
          </w:p>
        </w:tc>
        <w:tc>
          <w:tcPr>
            <w:tcW w:w="1123" w:type="dxa"/>
            <w:tcBorders>
              <w:left w:val="single" w:sz="12" w:space="0" w:color="239B11"/>
            </w:tcBorders>
            <w:vAlign w:val="center"/>
          </w:tcPr>
          <w:p w14:paraId="2ED9B299" w14:textId="3F8D69B7"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33,6%</w:t>
            </w:r>
          </w:p>
        </w:tc>
        <w:tc>
          <w:tcPr>
            <w:tcW w:w="1122" w:type="dxa"/>
            <w:vAlign w:val="center"/>
          </w:tcPr>
          <w:p w14:paraId="70A55F70" w14:textId="161E20CD"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34,9%</w:t>
            </w:r>
          </w:p>
        </w:tc>
        <w:tc>
          <w:tcPr>
            <w:tcW w:w="1123" w:type="dxa"/>
            <w:vAlign w:val="center"/>
          </w:tcPr>
          <w:p w14:paraId="134B2CF3" w14:textId="77777777"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w:t>
            </w:r>
          </w:p>
        </w:tc>
      </w:tr>
      <w:tr w:rsidR="001629B8" w:rsidRPr="00981F75" w14:paraId="17DEAE42" w14:textId="77777777" w:rsidTr="00FB54DF">
        <w:tc>
          <w:tcPr>
            <w:tcW w:w="2321" w:type="dxa"/>
            <w:tcBorders>
              <w:right w:val="single" w:sz="12" w:space="0" w:color="239B11"/>
            </w:tcBorders>
            <w:vAlign w:val="center"/>
          </w:tcPr>
          <w:p w14:paraId="3E8361CA" w14:textId="2F08CD31" w:rsidR="001629B8" w:rsidRPr="00981F75" w:rsidRDefault="001629B8" w:rsidP="00FB54DF">
            <w:pPr>
              <w:pStyle w:val="NormalWeb"/>
              <w:spacing w:before="0" w:beforeAutospacing="0" w:after="0" w:afterAutospacing="0" w:line="264" w:lineRule="auto"/>
              <w:rPr>
                <w:rFonts w:ascii="Arial" w:hAnsi="Arial" w:cs="Arial"/>
                <w:sz w:val="20"/>
                <w:szCs w:val="20"/>
              </w:rPr>
            </w:pPr>
            <w:r w:rsidRPr="00981F75">
              <w:rPr>
                <w:rFonts w:ascii="Arial" w:hAnsi="Arial" w:cs="Arial"/>
                <w:sz w:val="20"/>
                <w:szCs w:val="20"/>
              </w:rPr>
              <w:lastRenderedPageBreak/>
              <w:t>Prilagođena EBITDA</w:t>
            </w:r>
            <w:r w:rsidRPr="00981F75">
              <w:rPr>
                <w:rStyle w:val="FootnoteReference"/>
                <w:rFonts w:ascii="Arial" w:hAnsi="Arial" w:cs="Arial"/>
              </w:rPr>
              <w:footnoteReference w:id="6"/>
            </w:r>
          </w:p>
        </w:tc>
        <w:tc>
          <w:tcPr>
            <w:tcW w:w="1122" w:type="dxa"/>
            <w:tcBorders>
              <w:left w:val="single" w:sz="12" w:space="0" w:color="239B11"/>
            </w:tcBorders>
            <w:vAlign w:val="center"/>
          </w:tcPr>
          <w:p w14:paraId="514B4717" w14:textId="68930A44"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31,3</w:t>
            </w:r>
          </w:p>
        </w:tc>
        <w:tc>
          <w:tcPr>
            <w:tcW w:w="1123" w:type="dxa"/>
            <w:vAlign w:val="center"/>
          </w:tcPr>
          <w:p w14:paraId="4FF32CD9" w14:textId="7E91B980"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43,6</w:t>
            </w:r>
          </w:p>
        </w:tc>
        <w:tc>
          <w:tcPr>
            <w:tcW w:w="1122" w:type="dxa"/>
            <w:tcBorders>
              <w:right w:val="single" w:sz="12" w:space="0" w:color="239B11"/>
            </w:tcBorders>
            <w:vAlign w:val="center"/>
          </w:tcPr>
          <w:p w14:paraId="3F0C6576" w14:textId="387B0FD9"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65,9</w:t>
            </w:r>
          </w:p>
        </w:tc>
        <w:tc>
          <w:tcPr>
            <w:tcW w:w="1123" w:type="dxa"/>
            <w:tcBorders>
              <w:left w:val="single" w:sz="12" w:space="0" w:color="239B11"/>
            </w:tcBorders>
            <w:vAlign w:val="center"/>
          </w:tcPr>
          <w:p w14:paraId="599D3788" w14:textId="17BB0284"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54,7</w:t>
            </w:r>
          </w:p>
        </w:tc>
        <w:tc>
          <w:tcPr>
            <w:tcW w:w="1122" w:type="dxa"/>
            <w:vAlign w:val="center"/>
          </w:tcPr>
          <w:p w14:paraId="7F684A2C" w14:textId="7A9F95EE"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66,9</w:t>
            </w:r>
          </w:p>
        </w:tc>
        <w:tc>
          <w:tcPr>
            <w:tcW w:w="1123" w:type="dxa"/>
            <w:vAlign w:val="center"/>
          </w:tcPr>
          <w:p w14:paraId="5EF27E28" w14:textId="7554ED6B"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72,1</w:t>
            </w:r>
          </w:p>
        </w:tc>
      </w:tr>
      <w:tr w:rsidR="001629B8" w:rsidRPr="00981F75" w14:paraId="06EE2384" w14:textId="77777777" w:rsidTr="00FB54DF">
        <w:tc>
          <w:tcPr>
            <w:tcW w:w="2321" w:type="dxa"/>
            <w:tcBorders>
              <w:right w:val="single" w:sz="12" w:space="0" w:color="239B11"/>
            </w:tcBorders>
            <w:vAlign w:val="center"/>
          </w:tcPr>
          <w:p w14:paraId="54CFD8C4" w14:textId="51F9F6BB" w:rsidR="001629B8" w:rsidRPr="00981F75" w:rsidRDefault="001629B8" w:rsidP="00FB54DF">
            <w:pPr>
              <w:pStyle w:val="NormalWeb"/>
              <w:spacing w:before="0" w:beforeAutospacing="0" w:after="0" w:afterAutospacing="0" w:line="264" w:lineRule="auto"/>
              <w:rPr>
                <w:rFonts w:ascii="Arial" w:hAnsi="Arial" w:cs="Arial"/>
                <w:i/>
                <w:iCs/>
                <w:sz w:val="20"/>
                <w:szCs w:val="20"/>
              </w:rPr>
            </w:pPr>
            <w:r w:rsidRPr="00981F75">
              <w:rPr>
                <w:rFonts w:ascii="Arial" w:hAnsi="Arial" w:cs="Arial"/>
                <w:i/>
                <w:iCs/>
                <w:sz w:val="20"/>
                <w:szCs w:val="20"/>
              </w:rPr>
              <w:t>Marža prilagođene EBITDA</w:t>
            </w:r>
          </w:p>
        </w:tc>
        <w:tc>
          <w:tcPr>
            <w:tcW w:w="1122" w:type="dxa"/>
            <w:tcBorders>
              <w:left w:val="single" w:sz="12" w:space="0" w:color="239B11"/>
            </w:tcBorders>
            <w:vAlign w:val="center"/>
          </w:tcPr>
          <w:p w14:paraId="44BBB949" w14:textId="6E7C7E55"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10,1%</w:t>
            </w:r>
          </w:p>
        </w:tc>
        <w:tc>
          <w:tcPr>
            <w:tcW w:w="1123" w:type="dxa"/>
            <w:vAlign w:val="center"/>
          </w:tcPr>
          <w:p w14:paraId="70BFF670" w14:textId="01F65645"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8,7%</w:t>
            </w:r>
          </w:p>
        </w:tc>
        <w:tc>
          <w:tcPr>
            <w:tcW w:w="1122" w:type="dxa"/>
            <w:tcBorders>
              <w:right w:val="single" w:sz="12" w:space="0" w:color="239B11"/>
            </w:tcBorders>
            <w:vAlign w:val="center"/>
          </w:tcPr>
          <w:p w14:paraId="0F5E2D7D" w14:textId="0D72F420"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9,9%</w:t>
            </w:r>
          </w:p>
        </w:tc>
        <w:tc>
          <w:tcPr>
            <w:tcW w:w="1123" w:type="dxa"/>
            <w:tcBorders>
              <w:left w:val="single" w:sz="12" w:space="0" w:color="239B11"/>
            </w:tcBorders>
            <w:vAlign w:val="center"/>
          </w:tcPr>
          <w:p w14:paraId="2B03BF32" w14:textId="0A39B745"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11,8%</w:t>
            </w:r>
          </w:p>
        </w:tc>
        <w:tc>
          <w:tcPr>
            <w:tcW w:w="1122" w:type="dxa"/>
            <w:vAlign w:val="center"/>
          </w:tcPr>
          <w:p w14:paraId="49CAB023" w14:textId="26B6A005"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12,0%</w:t>
            </w:r>
          </w:p>
        </w:tc>
        <w:tc>
          <w:tcPr>
            <w:tcW w:w="1123" w:type="dxa"/>
            <w:vAlign w:val="center"/>
          </w:tcPr>
          <w:p w14:paraId="7FD419C9" w14:textId="6A98D910" w:rsidR="001629B8" w:rsidRPr="00981F75" w:rsidRDefault="001629B8" w:rsidP="00FB54DF">
            <w:pPr>
              <w:pStyle w:val="NormalWeb"/>
              <w:spacing w:before="0" w:beforeAutospacing="0" w:after="0" w:afterAutospacing="0" w:line="264" w:lineRule="auto"/>
              <w:jc w:val="right"/>
              <w:rPr>
                <w:rFonts w:ascii="Arial" w:hAnsi="Arial" w:cs="Arial"/>
                <w:i/>
                <w:iCs/>
                <w:sz w:val="20"/>
                <w:szCs w:val="20"/>
              </w:rPr>
            </w:pPr>
            <w:r w:rsidRPr="00981F75">
              <w:rPr>
                <w:rFonts w:ascii="Arial" w:hAnsi="Arial" w:cs="Arial"/>
                <w:i/>
                <w:iCs/>
                <w:sz w:val="20"/>
                <w:szCs w:val="20"/>
              </w:rPr>
              <w:t>11,8%</w:t>
            </w:r>
          </w:p>
        </w:tc>
      </w:tr>
      <w:tr w:rsidR="001629B8" w:rsidRPr="00981F75" w14:paraId="2C9B0D2C" w14:textId="77777777" w:rsidTr="00FB54DF">
        <w:tc>
          <w:tcPr>
            <w:tcW w:w="2321" w:type="dxa"/>
            <w:tcBorders>
              <w:right w:val="single" w:sz="12" w:space="0" w:color="239B11"/>
            </w:tcBorders>
            <w:vAlign w:val="center"/>
          </w:tcPr>
          <w:p w14:paraId="78D53D37" w14:textId="36C3BD3E" w:rsidR="001629B8" w:rsidRPr="00981F75" w:rsidRDefault="001629B8" w:rsidP="00FB54DF">
            <w:pPr>
              <w:pStyle w:val="NormalWeb"/>
              <w:spacing w:before="0" w:beforeAutospacing="0" w:after="0" w:afterAutospacing="0" w:line="264" w:lineRule="auto"/>
              <w:rPr>
                <w:rFonts w:ascii="Arial" w:hAnsi="Arial" w:cs="Arial"/>
                <w:sz w:val="20"/>
                <w:szCs w:val="20"/>
              </w:rPr>
            </w:pPr>
            <w:r w:rsidRPr="00981F75">
              <w:rPr>
                <w:rFonts w:ascii="Arial" w:hAnsi="Arial" w:cs="Arial"/>
                <w:sz w:val="20"/>
                <w:szCs w:val="20"/>
              </w:rPr>
              <w:t>Prilagođeni neto dug</w:t>
            </w:r>
            <w:r w:rsidRPr="00981F75">
              <w:rPr>
                <w:rStyle w:val="FootnoteReference"/>
                <w:rFonts w:ascii="Arial" w:hAnsi="Arial" w:cs="Arial"/>
              </w:rPr>
              <w:footnoteReference w:id="7"/>
            </w:r>
            <w:r w:rsidR="00981F75">
              <w:rPr>
                <w:rFonts w:ascii="Arial" w:hAnsi="Arial" w:cs="Arial"/>
                <w:sz w:val="20"/>
                <w:szCs w:val="20"/>
              </w:rPr>
              <w:t xml:space="preserve"> </w:t>
            </w:r>
            <w:r w:rsidRPr="00981F75">
              <w:rPr>
                <w:rFonts w:ascii="Arial" w:hAnsi="Arial" w:cs="Arial"/>
                <w:sz w:val="20"/>
                <w:szCs w:val="20"/>
              </w:rPr>
              <w:t>/ Prilagođena EBITDA</w:t>
            </w:r>
          </w:p>
        </w:tc>
        <w:tc>
          <w:tcPr>
            <w:tcW w:w="1122" w:type="dxa"/>
            <w:tcBorders>
              <w:left w:val="single" w:sz="12" w:space="0" w:color="239B11"/>
            </w:tcBorders>
            <w:vAlign w:val="center"/>
          </w:tcPr>
          <w:p w14:paraId="279A6503" w14:textId="70538D57"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3,8x</w:t>
            </w:r>
          </w:p>
        </w:tc>
        <w:tc>
          <w:tcPr>
            <w:tcW w:w="1123" w:type="dxa"/>
            <w:vAlign w:val="center"/>
          </w:tcPr>
          <w:p w14:paraId="6921EBA5" w14:textId="60B31EAC"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4,4x</w:t>
            </w:r>
          </w:p>
        </w:tc>
        <w:tc>
          <w:tcPr>
            <w:tcW w:w="1122" w:type="dxa"/>
            <w:tcBorders>
              <w:right w:val="single" w:sz="12" w:space="0" w:color="239B11"/>
            </w:tcBorders>
            <w:vAlign w:val="center"/>
          </w:tcPr>
          <w:p w14:paraId="555A04B0" w14:textId="41397DD9"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4,2x</w:t>
            </w:r>
          </w:p>
        </w:tc>
        <w:tc>
          <w:tcPr>
            <w:tcW w:w="1123" w:type="dxa"/>
            <w:tcBorders>
              <w:left w:val="single" w:sz="12" w:space="0" w:color="239B11"/>
            </w:tcBorders>
            <w:vAlign w:val="center"/>
          </w:tcPr>
          <w:p w14:paraId="7972B56B" w14:textId="21553F68"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4,5x</w:t>
            </w:r>
          </w:p>
        </w:tc>
        <w:tc>
          <w:tcPr>
            <w:tcW w:w="1122" w:type="dxa"/>
            <w:vAlign w:val="center"/>
          </w:tcPr>
          <w:p w14:paraId="40A6AFC6" w14:textId="48A997D7"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3,9x</w:t>
            </w:r>
          </w:p>
        </w:tc>
        <w:tc>
          <w:tcPr>
            <w:tcW w:w="1123" w:type="dxa"/>
            <w:vAlign w:val="center"/>
          </w:tcPr>
          <w:p w14:paraId="55B219F7" w14:textId="158DB387"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3,1x</w:t>
            </w:r>
          </w:p>
        </w:tc>
      </w:tr>
      <w:tr w:rsidR="001629B8" w:rsidRPr="00981F75" w14:paraId="7522789E" w14:textId="77777777" w:rsidTr="00FB54DF">
        <w:tc>
          <w:tcPr>
            <w:tcW w:w="2321" w:type="dxa"/>
            <w:tcBorders>
              <w:bottom w:val="single" w:sz="12" w:space="0" w:color="239B11"/>
              <w:right w:val="single" w:sz="12" w:space="0" w:color="239B11"/>
            </w:tcBorders>
            <w:vAlign w:val="center"/>
          </w:tcPr>
          <w:p w14:paraId="53550ECD" w14:textId="094A933D" w:rsidR="001629B8" w:rsidRPr="00981F75" w:rsidRDefault="001629B8" w:rsidP="00FB54DF">
            <w:pPr>
              <w:pStyle w:val="NormalWeb"/>
              <w:spacing w:before="0" w:beforeAutospacing="0" w:after="0" w:afterAutospacing="0" w:line="264" w:lineRule="auto"/>
              <w:rPr>
                <w:rFonts w:ascii="Arial" w:hAnsi="Arial" w:cs="Arial"/>
                <w:sz w:val="20"/>
                <w:szCs w:val="20"/>
              </w:rPr>
            </w:pPr>
            <w:r w:rsidRPr="00981F75">
              <w:rPr>
                <w:rFonts w:ascii="Arial" w:hAnsi="Arial" w:cs="Arial"/>
                <w:sz w:val="20"/>
                <w:szCs w:val="20"/>
              </w:rPr>
              <w:t>Neto dobit / (gubitak)</w:t>
            </w:r>
          </w:p>
        </w:tc>
        <w:tc>
          <w:tcPr>
            <w:tcW w:w="1122" w:type="dxa"/>
            <w:tcBorders>
              <w:left w:val="single" w:sz="12" w:space="0" w:color="239B11"/>
              <w:bottom w:val="single" w:sz="12" w:space="0" w:color="239B11"/>
            </w:tcBorders>
            <w:vAlign w:val="center"/>
          </w:tcPr>
          <w:p w14:paraId="0125A2B2" w14:textId="77777777"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0.0</w:t>
            </w:r>
          </w:p>
        </w:tc>
        <w:tc>
          <w:tcPr>
            <w:tcW w:w="1123" w:type="dxa"/>
            <w:tcBorders>
              <w:bottom w:val="single" w:sz="12" w:space="0" w:color="239B11"/>
            </w:tcBorders>
            <w:vAlign w:val="center"/>
          </w:tcPr>
          <w:p w14:paraId="1BDF4070" w14:textId="73463948"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(0,1)</w:t>
            </w:r>
          </w:p>
        </w:tc>
        <w:tc>
          <w:tcPr>
            <w:tcW w:w="1122" w:type="dxa"/>
            <w:tcBorders>
              <w:bottom w:val="single" w:sz="12" w:space="0" w:color="239B11"/>
              <w:right w:val="single" w:sz="12" w:space="0" w:color="239B11"/>
            </w:tcBorders>
            <w:vAlign w:val="center"/>
          </w:tcPr>
          <w:p w14:paraId="5EB7BDE3" w14:textId="5C03FD64"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1,3</w:t>
            </w:r>
          </w:p>
        </w:tc>
        <w:tc>
          <w:tcPr>
            <w:tcW w:w="1123" w:type="dxa"/>
            <w:tcBorders>
              <w:left w:val="single" w:sz="12" w:space="0" w:color="239B11"/>
              <w:bottom w:val="single" w:sz="12" w:space="0" w:color="239B11"/>
            </w:tcBorders>
            <w:vAlign w:val="center"/>
          </w:tcPr>
          <w:p w14:paraId="49FC9175" w14:textId="0CE3E382"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10,1</w:t>
            </w:r>
          </w:p>
        </w:tc>
        <w:tc>
          <w:tcPr>
            <w:tcW w:w="1122" w:type="dxa"/>
            <w:tcBorders>
              <w:bottom w:val="single" w:sz="12" w:space="0" w:color="239B11"/>
            </w:tcBorders>
            <w:vAlign w:val="center"/>
          </w:tcPr>
          <w:p w14:paraId="79650B85" w14:textId="77B7D5FB"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16,3</w:t>
            </w:r>
          </w:p>
        </w:tc>
        <w:tc>
          <w:tcPr>
            <w:tcW w:w="1123" w:type="dxa"/>
            <w:tcBorders>
              <w:bottom w:val="single" w:sz="12" w:space="0" w:color="239B11"/>
            </w:tcBorders>
            <w:vAlign w:val="center"/>
          </w:tcPr>
          <w:p w14:paraId="3477DB3D" w14:textId="220AD1A6" w:rsidR="001629B8" w:rsidRPr="00981F75" w:rsidRDefault="001629B8" w:rsidP="00FB54DF">
            <w:pPr>
              <w:pStyle w:val="NormalWeb"/>
              <w:spacing w:before="0" w:beforeAutospacing="0" w:after="0" w:afterAutospacing="0" w:line="264" w:lineRule="auto"/>
              <w:jc w:val="right"/>
              <w:rPr>
                <w:rFonts w:ascii="Arial" w:hAnsi="Arial" w:cs="Arial"/>
                <w:sz w:val="20"/>
                <w:szCs w:val="20"/>
              </w:rPr>
            </w:pPr>
            <w:r w:rsidRPr="00981F75">
              <w:rPr>
                <w:rFonts w:ascii="Arial" w:hAnsi="Arial" w:cs="Arial"/>
                <w:sz w:val="20"/>
                <w:szCs w:val="20"/>
              </w:rPr>
              <w:t>20,3</w:t>
            </w:r>
          </w:p>
        </w:tc>
      </w:tr>
    </w:tbl>
    <w:p w14:paraId="4494F505" w14:textId="77777777" w:rsidR="00701339" w:rsidRPr="00981F75" w:rsidRDefault="00701339" w:rsidP="00C47B26">
      <w:pPr>
        <w:pStyle w:val="NormalWeb"/>
        <w:spacing w:before="0" w:beforeAutospacing="0" w:after="120" w:afterAutospacing="0" w:line="264" w:lineRule="auto"/>
        <w:jc w:val="both"/>
        <w:rPr>
          <w:rFonts w:ascii="Arial" w:hAnsi="Arial" w:cs="Arial"/>
          <w:sz w:val="22"/>
          <w:szCs w:val="22"/>
        </w:rPr>
      </w:pPr>
    </w:p>
    <w:p w14:paraId="2188939D" w14:textId="203CBA42" w:rsidR="00171B16" w:rsidRPr="00981F75" w:rsidRDefault="00B20D76" w:rsidP="00C47B26">
      <w:pPr>
        <w:spacing w:after="120" w:line="264" w:lineRule="auto"/>
        <w:rPr>
          <w:rFonts w:ascii="Arial" w:hAnsi="Arial" w:cs="Arial"/>
          <w:b/>
          <w:bCs/>
          <w:sz w:val="22"/>
          <w:szCs w:val="22"/>
          <w:u w:val="single"/>
        </w:rPr>
      </w:pPr>
      <w:r w:rsidRPr="00981F75">
        <w:rPr>
          <w:rFonts w:ascii="Arial" w:hAnsi="Arial" w:cs="Arial"/>
          <w:b/>
          <w:bCs/>
          <w:sz w:val="22"/>
          <w:szCs w:val="22"/>
          <w:u w:val="single"/>
        </w:rPr>
        <w:t>Upiti</w:t>
      </w:r>
    </w:p>
    <w:p w14:paraId="0F93BCDD" w14:textId="3EE1AF8A" w:rsidR="00DC74D6" w:rsidRPr="00981F75" w:rsidRDefault="00B20D76" w:rsidP="00C47B26">
      <w:pPr>
        <w:spacing w:after="120" w:line="264" w:lineRule="auto"/>
        <w:rPr>
          <w:rFonts w:ascii="Arial" w:hAnsi="Arial" w:cs="Arial"/>
          <w:sz w:val="22"/>
          <w:szCs w:val="22"/>
        </w:rPr>
      </w:pPr>
      <w:r w:rsidRPr="00981F75">
        <w:rPr>
          <w:rFonts w:ascii="Arial" w:hAnsi="Arial" w:cs="Arial"/>
          <w:sz w:val="22"/>
          <w:szCs w:val="22"/>
        </w:rPr>
        <w:t>Za dodatne informacije molimo kontaktirajte:</w:t>
      </w:r>
      <w:r w:rsidR="00981F75">
        <w:rPr>
          <w:rFonts w:ascii="Arial" w:hAnsi="Arial" w:cs="Arial"/>
          <w:sz w:val="22"/>
          <w:szCs w:val="22"/>
        </w:rPr>
        <w:t xml:space="preserve"> </w:t>
      </w:r>
    </w:p>
    <w:p w14:paraId="31C1210F" w14:textId="77777777" w:rsidR="005F6795" w:rsidRPr="00981F75" w:rsidRDefault="005F6795" w:rsidP="00C47B26">
      <w:pPr>
        <w:spacing w:after="120" w:line="264" w:lineRule="auto"/>
        <w:rPr>
          <w:rFonts w:ascii="Arial" w:hAnsi="Arial" w:cs="Arial"/>
          <w:sz w:val="22"/>
          <w:szCs w:val="22"/>
        </w:rPr>
      </w:pPr>
    </w:p>
    <w:p w14:paraId="591E0DD2" w14:textId="2781343F" w:rsidR="009722EA" w:rsidRPr="00981F75" w:rsidRDefault="009722EA" w:rsidP="00C47B26">
      <w:pPr>
        <w:spacing w:after="120" w:line="264" w:lineRule="auto"/>
        <w:rPr>
          <w:rFonts w:ascii="Arial" w:hAnsi="Arial" w:cs="Arial"/>
          <w:sz w:val="22"/>
          <w:szCs w:val="22"/>
        </w:rPr>
      </w:pPr>
      <w:r w:rsidRPr="00981F75">
        <w:rPr>
          <w:rFonts w:ascii="Arial" w:hAnsi="Arial" w:cs="Arial"/>
          <w:sz w:val="22"/>
          <w:szCs w:val="22"/>
        </w:rPr>
        <w:t>Medi</w:t>
      </w:r>
      <w:r w:rsidR="00B20D76" w:rsidRPr="00981F75">
        <w:rPr>
          <w:rFonts w:ascii="Arial" w:hAnsi="Arial" w:cs="Arial"/>
          <w:sz w:val="22"/>
          <w:szCs w:val="22"/>
        </w:rPr>
        <w:t>ji</w:t>
      </w:r>
      <w:r w:rsidRPr="00981F75">
        <w:rPr>
          <w:rFonts w:ascii="Arial" w:hAnsi="Arial" w:cs="Arial"/>
          <w:sz w:val="22"/>
          <w:szCs w:val="22"/>
        </w:rPr>
        <w:t>:</w:t>
      </w:r>
    </w:p>
    <w:p w14:paraId="7105152A" w14:textId="1946CDE5" w:rsidR="005F6795" w:rsidRPr="00981F75" w:rsidRDefault="005F6795" w:rsidP="005F6795">
      <w:pPr>
        <w:spacing w:after="120" w:line="264" w:lineRule="auto"/>
        <w:rPr>
          <w:rFonts w:ascii="Arial" w:hAnsi="Arial" w:cs="Arial"/>
          <w:b/>
          <w:bCs/>
          <w:sz w:val="22"/>
          <w:szCs w:val="22"/>
        </w:rPr>
      </w:pPr>
      <w:r w:rsidRPr="00981F75">
        <w:rPr>
          <w:rFonts w:ascii="Arial" w:hAnsi="Arial" w:cs="Arial"/>
          <w:b/>
          <w:bCs/>
          <w:sz w:val="22"/>
          <w:szCs w:val="22"/>
        </w:rPr>
        <w:t>NBS Communications (Pol</w:t>
      </w:r>
      <w:r w:rsidR="00B20D76" w:rsidRPr="00981F75">
        <w:rPr>
          <w:rFonts w:ascii="Arial" w:hAnsi="Arial" w:cs="Arial"/>
          <w:b/>
          <w:bCs/>
          <w:sz w:val="22"/>
          <w:szCs w:val="22"/>
        </w:rPr>
        <w:t>jska</w:t>
      </w:r>
      <w:r w:rsidRPr="00981F75">
        <w:rPr>
          <w:rFonts w:ascii="Arial" w:hAnsi="Arial" w:cs="Arial"/>
          <w:b/>
          <w:bCs/>
          <w:sz w:val="22"/>
          <w:szCs w:val="22"/>
        </w:rPr>
        <w:t xml:space="preserve">) </w:t>
      </w:r>
    </w:p>
    <w:p w14:paraId="6B09F154" w14:textId="77777777" w:rsidR="005F6795" w:rsidRPr="00981F75" w:rsidRDefault="005F6795" w:rsidP="005F6795">
      <w:pPr>
        <w:spacing w:after="120" w:line="264" w:lineRule="auto"/>
        <w:rPr>
          <w:rFonts w:ascii="Arial" w:hAnsi="Arial" w:cs="Arial"/>
          <w:sz w:val="22"/>
          <w:szCs w:val="22"/>
        </w:rPr>
      </w:pPr>
      <w:r w:rsidRPr="00981F75">
        <w:rPr>
          <w:rFonts w:ascii="Arial" w:hAnsi="Arial" w:cs="Arial"/>
          <w:sz w:val="22"/>
          <w:szCs w:val="22"/>
        </w:rPr>
        <w:t xml:space="preserve">Piotr Wojtaszek | </w:t>
      </w:r>
      <w:r w:rsidR="0013197C" w:rsidRPr="00981F75">
        <w:rPr>
          <w:rFonts w:ascii="Arial" w:hAnsi="Arial" w:cs="Arial"/>
          <w:sz w:val="22"/>
          <w:szCs w:val="22"/>
        </w:rPr>
        <w:t xml:space="preserve">+48 </w:t>
      </w:r>
      <w:r w:rsidR="00780A02" w:rsidRPr="00981F75">
        <w:rPr>
          <w:rFonts w:ascii="Arial" w:hAnsi="Arial" w:cs="Arial"/>
          <w:sz w:val="22"/>
          <w:szCs w:val="22"/>
        </w:rPr>
        <w:t>500 202 355</w:t>
      </w:r>
    </w:p>
    <w:p w14:paraId="777C1421" w14:textId="77777777" w:rsidR="005F6795" w:rsidRPr="00981F75" w:rsidRDefault="005F6795" w:rsidP="005F6795">
      <w:pPr>
        <w:spacing w:after="120" w:line="264" w:lineRule="auto"/>
        <w:rPr>
          <w:rFonts w:ascii="Arial" w:hAnsi="Arial" w:cs="Arial"/>
          <w:sz w:val="22"/>
          <w:szCs w:val="22"/>
        </w:rPr>
      </w:pPr>
      <w:r w:rsidRPr="00981F75">
        <w:rPr>
          <w:rFonts w:ascii="Arial" w:hAnsi="Arial" w:cs="Arial"/>
          <w:sz w:val="22"/>
          <w:szCs w:val="22"/>
        </w:rPr>
        <w:t xml:space="preserve">Krzysztof Woch | </w:t>
      </w:r>
      <w:r w:rsidR="0013197C" w:rsidRPr="00981F75">
        <w:rPr>
          <w:rFonts w:ascii="Arial" w:hAnsi="Arial" w:cs="Arial"/>
          <w:sz w:val="22"/>
          <w:szCs w:val="22"/>
        </w:rPr>
        <w:t>+ 48 516 173 691</w:t>
      </w:r>
    </w:p>
    <w:p w14:paraId="6E1D367D" w14:textId="77777777" w:rsidR="005F6795" w:rsidRPr="00981F75" w:rsidRDefault="005F6795" w:rsidP="005F6795">
      <w:pPr>
        <w:spacing w:after="120" w:line="264" w:lineRule="auto"/>
        <w:rPr>
          <w:rFonts w:ascii="Arial" w:hAnsi="Arial" w:cs="Arial"/>
          <w:sz w:val="22"/>
          <w:szCs w:val="22"/>
        </w:rPr>
      </w:pPr>
      <w:r w:rsidRPr="00981F75">
        <w:rPr>
          <w:rFonts w:ascii="Arial" w:hAnsi="Arial" w:cs="Arial"/>
          <w:sz w:val="22"/>
          <w:szCs w:val="22"/>
        </w:rPr>
        <w:t xml:space="preserve">Maciej Szczepaniak | </w:t>
      </w:r>
      <w:r w:rsidR="00780A02" w:rsidRPr="00981F75">
        <w:rPr>
          <w:rFonts w:ascii="Arial" w:hAnsi="Arial" w:cs="Arial"/>
          <w:sz w:val="22"/>
          <w:szCs w:val="22"/>
        </w:rPr>
        <w:t>+48 514 985 845</w:t>
      </w:r>
    </w:p>
    <w:p w14:paraId="71C04707" w14:textId="77777777" w:rsidR="005F6795" w:rsidRPr="00981F75" w:rsidRDefault="005F6795" w:rsidP="005F6795">
      <w:pPr>
        <w:spacing w:after="120" w:line="264" w:lineRule="auto"/>
        <w:rPr>
          <w:rFonts w:ascii="Arial" w:hAnsi="Arial" w:cs="Arial"/>
          <w:sz w:val="22"/>
          <w:szCs w:val="22"/>
        </w:rPr>
      </w:pPr>
      <w:r w:rsidRPr="00981F75">
        <w:rPr>
          <w:rFonts w:ascii="Arial" w:hAnsi="Arial" w:cs="Arial"/>
          <w:sz w:val="22"/>
          <w:szCs w:val="22"/>
        </w:rPr>
        <w:t>Joanna Brewińska | +48 502 255 415</w:t>
      </w:r>
    </w:p>
    <w:p w14:paraId="7871CDDA" w14:textId="77777777" w:rsidR="005F6795" w:rsidRPr="00981F75" w:rsidRDefault="005F6795" w:rsidP="005F6795">
      <w:pPr>
        <w:spacing w:after="120" w:line="264" w:lineRule="auto"/>
        <w:rPr>
          <w:rFonts w:ascii="Arial" w:hAnsi="Arial" w:cs="Arial"/>
          <w:sz w:val="22"/>
          <w:szCs w:val="22"/>
        </w:rPr>
      </w:pPr>
      <w:r w:rsidRPr="00981F75">
        <w:rPr>
          <w:rFonts w:ascii="Arial" w:hAnsi="Arial" w:cs="Arial"/>
          <w:sz w:val="22"/>
          <w:szCs w:val="22"/>
        </w:rPr>
        <w:t xml:space="preserve">e-mail: </w:t>
      </w:r>
      <w:hyperlink r:id="rId10" w:history="1">
        <w:r w:rsidRPr="00981F75">
          <w:rPr>
            <w:rStyle w:val="Hyperlink"/>
            <w:rFonts w:ascii="Arial" w:hAnsi="Arial" w:cs="Arial"/>
            <w:sz w:val="22"/>
            <w:szCs w:val="22"/>
          </w:rPr>
          <w:t>studenac@nbs.com.pl</w:t>
        </w:r>
      </w:hyperlink>
      <w:r w:rsidRPr="00981F75">
        <w:rPr>
          <w:rStyle w:val="Hyperlink"/>
          <w:rFonts w:ascii="Arial" w:hAnsi="Arial" w:cs="Arial"/>
          <w:sz w:val="22"/>
          <w:szCs w:val="22"/>
        </w:rPr>
        <w:t xml:space="preserve"> </w:t>
      </w:r>
    </w:p>
    <w:p w14:paraId="40F31D34" w14:textId="77777777" w:rsidR="005F6795" w:rsidRPr="00981F75" w:rsidRDefault="005F6795" w:rsidP="00C47B26">
      <w:pPr>
        <w:spacing w:after="120" w:line="264" w:lineRule="auto"/>
        <w:rPr>
          <w:rFonts w:ascii="Arial" w:hAnsi="Arial"/>
          <w:sz w:val="22"/>
        </w:rPr>
      </w:pPr>
    </w:p>
    <w:p w14:paraId="49B43B37" w14:textId="693ACAB1" w:rsidR="005F6795" w:rsidRPr="00981F75" w:rsidRDefault="005F6795" w:rsidP="005F6795">
      <w:pPr>
        <w:spacing w:after="120" w:line="264" w:lineRule="auto"/>
        <w:rPr>
          <w:rFonts w:ascii="Arial" w:hAnsi="Arial" w:cs="Arial"/>
          <w:b/>
          <w:bCs/>
          <w:sz w:val="22"/>
          <w:szCs w:val="22"/>
        </w:rPr>
      </w:pPr>
      <w:r w:rsidRPr="00981F75">
        <w:rPr>
          <w:rFonts w:ascii="Arial" w:hAnsi="Arial" w:cs="Arial"/>
          <w:b/>
          <w:bCs/>
          <w:sz w:val="22"/>
          <w:szCs w:val="22"/>
        </w:rPr>
        <w:t>Pragma</w:t>
      </w:r>
      <w:r w:rsidR="008A3899" w:rsidRPr="00981F75">
        <w:rPr>
          <w:rFonts w:ascii="Arial" w:hAnsi="Arial" w:cs="Arial"/>
          <w:b/>
          <w:bCs/>
          <w:sz w:val="22"/>
          <w:szCs w:val="22"/>
        </w:rPr>
        <w:t xml:space="preserve"> komunikacije</w:t>
      </w:r>
      <w:r w:rsidRPr="00981F75">
        <w:rPr>
          <w:rFonts w:ascii="Arial" w:hAnsi="Arial" w:cs="Arial"/>
          <w:b/>
          <w:bCs/>
          <w:sz w:val="22"/>
          <w:szCs w:val="22"/>
        </w:rPr>
        <w:t xml:space="preserve"> (</w:t>
      </w:r>
      <w:r w:rsidR="00B20D76" w:rsidRPr="00981F75">
        <w:rPr>
          <w:rFonts w:ascii="Arial" w:hAnsi="Arial" w:cs="Arial"/>
          <w:b/>
          <w:bCs/>
          <w:sz w:val="22"/>
          <w:szCs w:val="22"/>
        </w:rPr>
        <w:t>Hrvatska</w:t>
      </w:r>
      <w:r w:rsidRPr="00981F75">
        <w:rPr>
          <w:rFonts w:ascii="Arial" w:hAnsi="Arial" w:cs="Arial"/>
          <w:b/>
          <w:bCs/>
          <w:sz w:val="22"/>
          <w:szCs w:val="22"/>
        </w:rPr>
        <w:t xml:space="preserve">) </w:t>
      </w:r>
    </w:p>
    <w:p w14:paraId="6764C519" w14:textId="77777777" w:rsidR="00B20D76" w:rsidRPr="00981F75" w:rsidRDefault="00B20D76" w:rsidP="00B20D76">
      <w:pPr>
        <w:spacing w:after="120" w:line="264" w:lineRule="auto"/>
        <w:rPr>
          <w:rFonts w:ascii="Arial" w:hAnsi="Arial" w:cs="Arial"/>
          <w:sz w:val="22"/>
          <w:szCs w:val="22"/>
        </w:rPr>
      </w:pPr>
      <w:r w:rsidRPr="00981F75">
        <w:rPr>
          <w:rFonts w:ascii="Arial" w:hAnsi="Arial" w:cs="Arial"/>
          <w:sz w:val="22"/>
          <w:szCs w:val="22"/>
        </w:rPr>
        <w:t xml:space="preserve">Ružica Ilak | +385 91 1186 186 | </w:t>
      </w:r>
      <w:hyperlink r:id="rId11" w:history="1">
        <w:r w:rsidRPr="00981F75">
          <w:rPr>
            <w:rStyle w:val="Hyperlink"/>
            <w:rFonts w:ascii="Arial" w:hAnsi="Arial" w:cs="Arial"/>
            <w:sz w:val="22"/>
            <w:szCs w:val="22"/>
          </w:rPr>
          <w:t>studenac@pragma.hr</w:t>
        </w:r>
      </w:hyperlink>
      <w:r w:rsidRPr="00981F75">
        <w:rPr>
          <w:rFonts w:ascii="Arial" w:hAnsi="Arial" w:cs="Arial"/>
          <w:sz w:val="22"/>
          <w:szCs w:val="22"/>
        </w:rPr>
        <w:t xml:space="preserve"> </w:t>
      </w:r>
    </w:p>
    <w:p w14:paraId="51359CC0" w14:textId="77777777" w:rsidR="005F6795" w:rsidRPr="00981F75" w:rsidRDefault="005F6795" w:rsidP="005F6795">
      <w:pPr>
        <w:spacing w:after="120" w:line="264" w:lineRule="auto"/>
        <w:rPr>
          <w:rFonts w:ascii="Arial" w:hAnsi="Arial" w:cs="Arial"/>
          <w:sz w:val="22"/>
          <w:szCs w:val="22"/>
        </w:rPr>
      </w:pPr>
    </w:p>
    <w:p w14:paraId="10CB4FCA" w14:textId="75D893DE" w:rsidR="005F6795" w:rsidRPr="00981F75" w:rsidRDefault="005F6795" w:rsidP="005F6795">
      <w:pPr>
        <w:spacing w:after="120" w:line="264" w:lineRule="auto"/>
        <w:rPr>
          <w:rFonts w:ascii="Arial" w:hAnsi="Arial" w:cs="Arial"/>
          <w:b/>
          <w:bCs/>
          <w:sz w:val="22"/>
          <w:szCs w:val="22"/>
        </w:rPr>
      </w:pPr>
      <w:r w:rsidRPr="00981F75">
        <w:rPr>
          <w:rFonts w:ascii="Arial" w:hAnsi="Arial" w:cs="Arial"/>
          <w:b/>
          <w:bCs/>
          <w:sz w:val="22"/>
          <w:szCs w:val="22"/>
        </w:rPr>
        <w:t>Aldgate Strategy Group (</w:t>
      </w:r>
      <w:r w:rsidR="00B20D76" w:rsidRPr="00981F75">
        <w:rPr>
          <w:rFonts w:ascii="Arial" w:hAnsi="Arial" w:cs="Arial"/>
          <w:b/>
          <w:bCs/>
          <w:sz w:val="22"/>
          <w:szCs w:val="22"/>
        </w:rPr>
        <w:t>Međunarodni</w:t>
      </w:r>
      <w:r w:rsidRPr="00981F75">
        <w:rPr>
          <w:rFonts w:ascii="Arial" w:hAnsi="Arial" w:cs="Arial"/>
          <w:b/>
          <w:bCs/>
          <w:sz w:val="22"/>
          <w:szCs w:val="22"/>
        </w:rPr>
        <w:t xml:space="preserve">) </w:t>
      </w:r>
    </w:p>
    <w:p w14:paraId="62C0AA49" w14:textId="77777777" w:rsidR="005F6795" w:rsidRPr="00981F75" w:rsidRDefault="005F6795" w:rsidP="005F6795">
      <w:pPr>
        <w:spacing w:after="120" w:line="264" w:lineRule="auto"/>
        <w:rPr>
          <w:rStyle w:val="Hyperlink"/>
          <w:rFonts w:ascii="Arial" w:hAnsi="Arial" w:cs="Arial"/>
          <w:color w:val="auto"/>
          <w:sz w:val="22"/>
          <w:szCs w:val="22"/>
          <w:u w:val="none"/>
        </w:rPr>
      </w:pPr>
      <w:r w:rsidRPr="00981F75">
        <w:rPr>
          <w:rFonts w:ascii="Arial" w:hAnsi="Arial" w:cs="Arial"/>
          <w:sz w:val="22"/>
          <w:szCs w:val="22"/>
        </w:rPr>
        <w:t xml:space="preserve">Nathaniel Espino | +48 696 041 731 | </w:t>
      </w:r>
      <w:hyperlink r:id="rId12" w:history="1">
        <w:r w:rsidRPr="00981F75">
          <w:rPr>
            <w:rStyle w:val="Hyperlink"/>
            <w:rFonts w:ascii="Arial" w:hAnsi="Arial" w:cs="Arial"/>
            <w:sz w:val="22"/>
            <w:szCs w:val="22"/>
          </w:rPr>
          <w:t>nathaniel.espino@aldgate.pl</w:t>
        </w:r>
      </w:hyperlink>
      <w:r w:rsidRPr="00981F75">
        <w:rPr>
          <w:rStyle w:val="Hyperlink"/>
          <w:rFonts w:ascii="Arial" w:hAnsi="Arial" w:cs="Arial"/>
          <w:sz w:val="22"/>
          <w:szCs w:val="22"/>
        </w:rPr>
        <w:t xml:space="preserve"> </w:t>
      </w:r>
    </w:p>
    <w:p w14:paraId="14518B50" w14:textId="77777777" w:rsidR="005F6795" w:rsidRPr="00981F75" w:rsidRDefault="005F6795" w:rsidP="00C47B26">
      <w:pPr>
        <w:spacing w:after="120" w:line="264" w:lineRule="auto"/>
        <w:rPr>
          <w:rFonts w:ascii="Arial" w:hAnsi="Arial" w:cs="Arial"/>
          <w:sz w:val="22"/>
          <w:szCs w:val="22"/>
        </w:rPr>
      </w:pPr>
    </w:p>
    <w:p w14:paraId="175A38E8" w14:textId="77777777" w:rsidR="005F6795" w:rsidRPr="00981F75" w:rsidRDefault="005F6795" w:rsidP="00C47B26">
      <w:pPr>
        <w:spacing w:after="120" w:line="264" w:lineRule="auto"/>
        <w:rPr>
          <w:rFonts w:ascii="Arial" w:hAnsi="Arial" w:cs="Arial"/>
          <w:b/>
          <w:bCs/>
          <w:sz w:val="22"/>
          <w:szCs w:val="22"/>
        </w:rPr>
      </w:pPr>
      <w:r w:rsidRPr="00981F75">
        <w:rPr>
          <w:rFonts w:ascii="Arial" w:hAnsi="Arial" w:cs="Arial"/>
          <w:b/>
          <w:bCs/>
          <w:sz w:val="22"/>
          <w:szCs w:val="22"/>
        </w:rPr>
        <w:t xml:space="preserve">Studenac </w:t>
      </w:r>
    </w:p>
    <w:p w14:paraId="7B45E2A3" w14:textId="7BECD55D" w:rsidR="00171B16" w:rsidRPr="00981F75" w:rsidRDefault="00171B16" w:rsidP="00B20D76">
      <w:pPr>
        <w:spacing w:after="120" w:line="264" w:lineRule="auto"/>
        <w:rPr>
          <w:rFonts w:ascii="Arial" w:hAnsi="Arial" w:cs="Arial"/>
          <w:sz w:val="22"/>
          <w:szCs w:val="22"/>
        </w:rPr>
      </w:pPr>
      <w:r w:rsidRPr="00981F75">
        <w:rPr>
          <w:rFonts w:ascii="Arial" w:hAnsi="Arial" w:cs="Arial"/>
          <w:sz w:val="22"/>
          <w:szCs w:val="22"/>
        </w:rPr>
        <w:t>Tatjana Spajić</w:t>
      </w:r>
      <w:r w:rsidR="005F6795" w:rsidRPr="00981F75">
        <w:rPr>
          <w:rFonts w:ascii="Arial" w:hAnsi="Arial" w:cs="Arial"/>
          <w:sz w:val="22"/>
          <w:szCs w:val="22"/>
        </w:rPr>
        <w:t xml:space="preserve"> –</w:t>
      </w:r>
      <w:r w:rsidR="00B20D76" w:rsidRPr="00981F75">
        <w:rPr>
          <w:rFonts w:ascii="Arial" w:hAnsi="Arial" w:cs="Arial"/>
          <w:sz w:val="22"/>
          <w:szCs w:val="22"/>
        </w:rPr>
        <w:t xml:space="preserve"> direktorica Korporativnih komunikacija</w:t>
      </w:r>
      <w:r w:rsidR="00981F75">
        <w:rPr>
          <w:rFonts w:ascii="Arial" w:hAnsi="Arial" w:cs="Arial"/>
          <w:sz w:val="22"/>
          <w:szCs w:val="22"/>
        </w:rPr>
        <w:t xml:space="preserve"> </w:t>
      </w:r>
    </w:p>
    <w:p w14:paraId="4314768F" w14:textId="77777777" w:rsidR="00171B16" w:rsidRPr="00981F75" w:rsidRDefault="00780A02" w:rsidP="00C47B26">
      <w:pPr>
        <w:spacing w:after="120" w:line="264" w:lineRule="auto"/>
        <w:rPr>
          <w:rFonts w:ascii="Arial" w:hAnsi="Arial" w:cs="Arial"/>
          <w:sz w:val="22"/>
          <w:szCs w:val="22"/>
        </w:rPr>
      </w:pPr>
      <w:r w:rsidRPr="00981F75">
        <w:rPr>
          <w:rFonts w:ascii="Arial" w:hAnsi="Arial" w:cs="Arial"/>
          <w:sz w:val="22"/>
          <w:szCs w:val="22"/>
        </w:rPr>
        <w:t>+385 91 489 0462</w:t>
      </w:r>
      <w:r w:rsidRPr="00981F75">
        <w:rPr>
          <w:rFonts w:ascii="Arial" w:hAnsi="Arial" w:cs="Arial"/>
          <w:b/>
          <w:bCs/>
          <w:sz w:val="22"/>
          <w:szCs w:val="22"/>
        </w:rPr>
        <w:t xml:space="preserve"> | </w:t>
      </w:r>
      <w:hyperlink r:id="rId13" w:history="1">
        <w:r w:rsidRPr="00981F75">
          <w:rPr>
            <w:rStyle w:val="Hyperlink"/>
            <w:rFonts w:ascii="Arial" w:hAnsi="Arial" w:cs="Arial"/>
            <w:sz w:val="22"/>
            <w:szCs w:val="22"/>
          </w:rPr>
          <w:t>tatjana.spajic@studenac.hr</w:t>
        </w:r>
      </w:hyperlink>
      <w:r w:rsidR="005F6795" w:rsidRPr="00981F75">
        <w:rPr>
          <w:rStyle w:val="Hyperlink"/>
          <w:rFonts w:ascii="Arial" w:hAnsi="Arial" w:cs="Arial"/>
          <w:sz w:val="22"/>
          <w:szCs w:val="22"/>
        </w:rPr>
        <w:t xml:space="preserve"> </w:t>
      </w:r>
    </w:p>
    <w:p w14:paraId="031522A5" w14:textId="617072D1" w:rsidR="00EE2897" w:rsidRPr="00981F75" w:rsidRDefault="009722EA" w:rsidP="00C47B26">
      <w:pPr>
        <w:spacing w:after="120" w:line="264" w:lineRule="auto"/>
        <w:rPr>
          <w:rFonts w:ascii="Arial" w:hAnsi="Arial" w:cs="Arial"/>
          <w:sz w:val="22"/>
          <w:szCs w:val="22"/>
        </w:rPr>
      </w:pPr>
      <w:r w:rsidRPr="00981F75">
        <w:rPr>
          <w:rFonts w:ascii="Arial" w:hAnsi="Arial" w:cs="Arial"/>
          <w:sz w:val="22"/>
          <w:szCs w:val="22"/>
        </w:rPr>
        <w:lastRenderedPageBreak/>
        <w:t xml:space="preserve">Adam Kucza – </w:t>
      </w:r>
      <w:r w:rsidR="00B20D76" w:rsidRPr="00981F75">
        <w:rPr>
          <w:rFonts w:ascii="Arial" w:hAnsi="Arial" w:cs="Arial"/>
          <w:sz w:val="22"/>
          <w:szCs w:val="22"/>
        </w:rPr>
        <w:t>rukovoditelj Odjela za odnose s investitorima</w:t>
      </w:r>
    </w:p>
    <w:p w14:paraId="5CDECD7C" w14:textId="77777777" w:rsidR="009722EA" w:rsidRPr="00981F75" w:rsidRDefault="009722EA" w:rsidP="009722EA">
      <w:pPr>
        <w:spacing w:after="120" w:line="264" w:lineRule="auto"/>
        <w:rPr>
          <w:rFonts w:ascii="Arial" w:hAnsi="Arial"/>
          <w:sz w:val="22"/>
        </w:rPr>
      </w:pPr>
      <w:r w:rsidRPr="00981F75">
        <w:rPr>
          <w:rFonts w:ascii="Arial" w:hAnsi="Arial" w:cs="Arial"/>
          <w:sz w:val="22"/>
          <w:szCs w:val="22"/>
        </w:rPr>
        <w:t xml:space="preserve">+385 91 489 0485 | </w:t>
      </w:r>
      <w:hyperlink r:id="rId14" w:history="1">
        <w:r w:rsidRPr="00981F75">
          <w:rPr>
            <w:rStyle w:val="Hyperlink"/>
            <w:rFonts w:ascii="Arial" w:hAnsi="Arial"/>
            <w:sz w:val="22"/>
          </w:rPr>
          <w:t>adam.kucza@studenac.hr</w:t>
        </w:r>
      </w:hyperlink>
      <w:r w:rsidRPr="00981F75">
        <w:rPr>
          <w:rFonts w:ascii="Arial" w:hAnsi="Arial" w:cs="Arial"/>
          <w:sz w:val="22"/>
          <w:szCs w:val="22"/>
        </w:rPr>
        <w:t xml:space="preserve"> </w:t>
      </w:r>
    </w:p>
    <w:p w14:paraId="6A7DFB11" w14:textId="77777777" w:rsidR="009722EA" w:rsidRDefault="009722EA" w:rsidP="00C47B26">
      <w:pPr>
        <w:spacing w:after="120" w:line="264" w:lineRule="auto"/>
        <w:rPr>
          <w:rFonts w:ascii="Arial" w:hAnsi="Arial" w:cs="Arial"/>
          <w:sz w:val="22"/>
          <w:szCs w:val="22"/>
        </w:rPr>
      </w:pPr>
    </w:p>
    <w:p w14:paraId="72298696" w14:textId="77777777" w:rsidR="00944E81" w:rsidRPr="00981F75" w:rsidRDefault="00944E81" w:rsidP="00C47B26">
      <w:pPr>
        <w:spacing w:after="120" w:line="264" w:lineRule="auto"/>
        <w:rPr>
          <w:rFonts w:ascii="Arial" w:hAnsi="Arial" w:cs="Arial"/>
          <w:sz w:val="22"/>
          <w:szCs w:val="22"/>
        </w:rPr>
      </w:pPr>
    </w:p>
    <w:bookmarkEnd w:id="0"/>
    <w:bookmarkEnd w:id="1"/>
    <w:p w14:paraId="5788E318" w14:textId="77777777" w:rsidR="00981F75" w:rsidRPr="00981F75"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981F75">
        <w:rPr>
          <w:rFonts w:asciiTheme="minorBidi" w:eastAsiaTheme="minorHAnsi" w:hAnsiTheme="minorBidi" w:cstheme="minorBidi"/>
          <w:sz w:val="20"/>
          <w:szCs w:val="20"/>
          <w:lang w:eastAsia="en-US"/>
        </w:rPr>
        <w:t>Ova objava nije namijenjena za objavljivanje ili distribuciju, izravno ili neizravno, u ili prema Sjedinjenim Američkim Državama. Ova objava i svaka kasnija ponuda vrijednosnih papira mogu biti ograničeni pravom određene jurisdikcije, te osobe koje prime ovu objavu trebaju se informirati o takvim ograničenjima i pridržavati ih se. Nepoštivanje takvih ograničenja može predstavljati kršenje propisa koji reguliraju vrijednosne papire bilo koje takve jurisdikcije.</w:t>
      </w:r>
    </w:p>
    <w:p w14:paraId="397D037C" w14:textId="77777777" w:rsidR="00981F75" w:rsidRPr="00981F75"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981F75">
        <w:rPr>
          <w:rFonts w:asciiTheme="minorBidi" w:eastAsiaTheme="minorHAnsi" w:hAnsiTheme="minorBidi" w:cstheme="minorBidi"/>
          <w:sz w:val="20"/>
          <w:szCs w:val="20"/>
          <w:lang w:eastAsia="en-US"/>
        </w:rPr>
        <w:t>Sadržaj ove objave pripremljen je i isključiva je odgovornost Društva.</w:t>
      </w:r>
    </w:p>
    <w:p w14:paraId="4A193594" w14:textId="53379922" w:rsidR="00981F75" w:rsidRPr="00981F75" w:rsidRDefault="00981F75" w:rsidP="00F31F0B">
      <w:pPr>
        <w:pStyle w:val="NormalWeb"/>
        <w:spacing w:before="0" w:beforeAutospacing="0" w:afterAutospacing="0" w:line="264" w:lineRule="auto"/>
        <w:jc w:val="both"/>
        <w:rPr>
          <w:rFonts w:asciiTheme="minorBidi" w:hAnsiTheme="minorBidi" w:cstheme="minorBidi"/>
          <w:sz w:val="20"/>
          <w:szCs w:val="20"/>
        </w:rPr>
      </w:pPr>
      <w:r w:rsidRPr="00981F75">
        <w:rPr>
          <w:rFonts w:asciiTheme="minorBidi" w:eastAsiaTheme="minorHAnsi" w:hAnsiTheme="minorBidi" w:cstheme="minorBidi"/>
          <w:sz w:val="20"/>
          <w:szCs w:val="20"/>
          <w:lang w:eastAsia="en-US"/>
        </w:rPr>
        <w:t xml:space="preserve">Informacije sadržane u ovoj objavi služe isključivo u informativne svrhe i ne predstavljaju potpune ili cjelovite informacije. Na informacije sadržane u ovoj objavi, kao i na njihovu točnost, pravednost ili cjelovitost, ne može se oslanjati nijedna osoba ni u koju svrhu. Informacije u ovoj objavi podložne su promjenama. </w:t>
      </w:r>
      <w:r w:rsidRPr="00981F75">
        <w:rPr>
          <w:rFonts w:asciiTheme="minorBidi" w:hAnsiTheme="minorBidi" w:cstheme="minorBidi"/>
          <w:sz w:val="20"/>
          <w:szCs w:val="20"/>
        </w:rPr>
        <w:t>Ulagatelji ne bi trebali upisivati niti kupovati dionice navedene u ovoj objavi, osim isključivo na temelju informacija iz Prospekta kojeg Društvo može objaviti u dogledno vrijeme u vezi s Ponudom i Uvrštenjem. Prije upisivanja ili kupnje bilo kakvih Dionica, osobe koje gledaju ovu objavu trebaju osigurati da u potpunosti razumiju i prihvaćaju rizike koji će biti navedeni u Prospektu kada bude objavljen.</w:t>
      </w:r>
    </w:p>
    <w:p w14:paraId="25C4105A" w14:textId="17C38148" w:rsidR="00981F75" w:rsidRPr="00F31F0B"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F31F0B">
        <w:rPr>
          <w:rFonts w:asciiTheme="minorBidi" w:eastAsiaTheme="minorHAnsi" w:hAnsiTheme="minorBidi" w:cstheme="minorBidi"/>
          <w:sz w:val="20"/>
          <w:szCs w:val="20"/>
          <w:lang w:eastAsia="en-US"/>
        </w:rPr>
        <w:t>Vremenski plan Ponude, uključujući datum Uvrštenja, može biti pod utjecajem niza okolnosti kao što su tržišni uvjeti. Ne postoji jamstvo da će se Uvrštenje dogoditi, i osobe koje gledaju ovu objavu ne bi trebale temeljiti svoje financijske odluke na namjerama Društva u vezi s Uvrštenjem u ovoj fazi. Stjecanje ulaganja na koja se ova objava odnosi može izložiti ulagatelja značajnom riziku gubitka cijelog ili dijela uloženog iznosa. Osobe koje razmatraju takva ulaganja trebale bi se konzultirati s ovlaštenom osobom koja je specijalizirana za savjetovanje o takvim ulaganjima. Ova objava ne predstavlja preporuku u vezi s Ponudom. Vrijednost dionica može se smanjiti kao i povećati. Potencijalni ulagatelji trebali bi se konzultirati s profesionalnim savjetnikom o prikladnosti Ponude za određenu osobu.</w:t>
      </w:r>
    </w:p>
    <w:p w14:paraId="506AA5C1" w14:textId="77777777" w:rsidR="00981F75" w:rsidRPr="00981F75"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981F75">
        <w:rPr>
          <w:rFonts w:asciiTheme="minorBidi" w:eastAsiaTheme="minorHAnsi" w:hAnsiTheme="minorBidi" w:cstheme="minorBidi"/>
          <w:sz w:val="20"/>
          <w:szCs w:val="20"/>
          <w:lang w:eastAsia="en-US"/>
        </w:rPr>
        <w:t>Izjave sadržane ovdje mogu predstavljati "izjave o budućim događajima". Izjave o budućim događajima obično su prepoznatljive po korištenju određenih riječi, uključujući, ali ne ograničavajući se na: "mogu", "će", "treba", "planira", "očekuje", "anticipira", "procjenjuje", "vjeruje", "namjerava", "projicira" ili "cilja" ili njihove negacije ili druge varijacije tih riječi ili sličnu terminologiju.</w:t>
      </w:r>
    </w:p>
    <w:p w14:paraId="01690B51" w14:textId="6FD81A02" w:rsidR="00981F75" w:rsidRPr="00F31F0B"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F31F0B">
        <w:rPr>
          <w:rFonts w:asciiTheme="minorBidi" w:eastAsiaTheme="minorHAnsi" w:hAnsiTheme="minorBidi" w:cstheme="minorBidi"/>
          <w:sz w:val="20"/>
          <w:szCs w:val="20"/>
          <w:lang w:eastAsia="en-US"/>
        </w:rPr>
        <w:t>Izjave o budućim događajima temelje se na trenutnim očekivanjima i uključuju niz poznatih i nepoznatih rizika, nesigurnosti i drugih čimbenika koji bi mogli uzrokovati da stvarno financijsko stanje, poslovna izvedba ili rezultati Društva ili njegove industrije, u bitnome odstupaju od budućeg financijskog stanja, poslovne izvedbe ili rezultata koji su izraženi ili implicirani u izjavama o budućim događajima. Ne biste se trebali neopravdano oslanjati na izjave o budućim događajima i osim ako nije drugačije propisano, Društvo se ne obvezuje javno ažurirati ili revidirati bilo kakve izjave o budućim događajima koje mogu biti navedene ovdje, bilo kao rezultat novih informacija, budućih događaja ili na drugi način.</w:t>
      </w:r>
    </w:p>
    <w:p w14:paraId="62CC617B" w14:textId="77777777" w:rsidR="00981F75" w:rsidRPr="00F31F0B" w:rsidRDefault="00981F75" w:rsidP="00F31F0B">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F31F0B">
        <w:rPr>
          <w:rFonts w:asciiTheme="minorBidi" w:eastAsiaTheme="minorHAnsi" w:hAnsiTheme="minorBidi" w:cstheme="minorBidi"/>
          <w:sz w:val="20"/>
          <w:szCs w:val="20"/>
          <w:lang w:eastAsia="en-US"/>
        </w:rPr>
        <w:t>Osim ako nije drugačije naznačeno, podaci o tržištu, industriji i konkurentskom položaju su procjene (i prema tome približne) i treba ih uzeti s oprezom. Takve informacije nisu revidirane niti neovisno potvrđene, i Društvo nije provjerilo osnovne ekonomske pretpostavke na koje se takve informacije oslanjaju.</w:t>
      </w:r>
    </w:p>
    <w:p w14:paraId="6CE5E028" w14:textId="77777777"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Ova objava ne sadrži niti predstavlja ponudu ili poziv na davanje ponude za kupnju dionica ili bilo kojih drugih vrijednosnih papira u Sjedinjenim Američkim Državama, Australiji, Kanadi, Japanu, Švicarskoj, Međunarodnom Financijskom Centru u Dubaiju ili Južnoj Africi, ili u bilo kojoj jurisdikciji u kojoj su takva ponuda ili poziv nezakoniti. Vrijednosni papiri navedeni ovdje nisu i neće biti registrirani prema Zakonu </w:t>
      </w:r>
      <w:r w:rsidRPr="00485300">
        <w:rPr>
          <w:rFonts w:asciiTheme="minorBidi" w:eastAsiaTheme="minorHAnsi" w:hAnsiTheme="minorBidi" w:cstheme="minorBidi"/>
          <w:sz w:val="20"/>
          <w:szCs w:val="20"/>
          <w:lang w:eastAsia="en-US"/>
        </w:rPr>
        <w:lastRenderedPageBreak/>
        <w:t>o vrijednosnim papirima Sjedinjenih Američkih Država (</w:t>
      </w:r>
      <w:r w:rsidRPr="00485300">
        <w:rPr>
          <w:rFonts w:asciiTheme="minorBidi" w:eastAsiaTheme="minorHAnsi" w:hAnsiTheme="minorBidi" w:cstheme="minorBidi"/>
          <w:i/>
          <w:iCs/>
          <w:sz w:val="20"/>
          <w:szCs w:val="20"/>
          <w:lang w:eastAsia="en-US"/>
        </w:rPr>
        <w:t>eng. U.S. Securities Act</w:t>
      </w:r>
      <w:r w:rsidRPr="00485300">
        <w:rPr>
          <w:rFonts w:asciiTheme="minorBidi" w:eastAsiaTheme="minorHAnsi" w:hAnsiTheme="minorBidi" w:cstheme="minorBidi"/>
          <w:sz w:val="20"/>
          <w:szCs w:val="20"/>
          <w:lang w:eastAsia="en-US"/>
        </w:rPr>
        <w:t>) iz 1933. godine, s izmjenama i dopunama („</w:t>
      </w:r>
      <w:r w:rsidRPr="00485300">
        <w:rPr>
          <w:rFonts w:asciiTheme="minorBidi" w:eastAsiaTheme="minorHAnsi" w:hAnsiTheme="minorBidi" w:cstheme="minorBidi"/>
          <w:b/>
          <w:bCs/>
          <w:sz w:val="20"/>
          <w:szCs w:val="20"/>
          <w:lang w:eastAsia="en-US"/>
        </w:rPr>
        <w:t>Zakon o vrijednosnim papirima SAD-a</w:t>
      </w:r>
      <w:r w:rsidRPr="00485300">
        <w:rPr>
          <w:rFonts w:asciiTheme="minorBidi" w:eastAsiaTheme="minorHAnsi" w:hAnsiTheme="minorBidi" w:cstheme="minorBidi"/>
          <w:sz w:val="20"/>
          <w:szCs w:val="20"/>
          <w:lang w:eastAsia="en-US"/>
        </w:rPr>
        <w:t>“), te se ne smiju nuditi ili prodavati u Sjedinjenim Američkim Državama, osim prema primjenjivom izuzeću od zahtjeva, ili u transakciji koja nije podložna zahtjevima za registraciju iz Zakona o vrijednosnim papirima SAD-a. Ponuda i prodaja ovdje navedenih vrijednosnih papira neće biti registrirani prema važećim propisima o vrijednosnim papirima Australije, Kanade, Japana, Švicarske, Međunarodnog Financijskog Centra u Dubaiju, Južne Afrike ili bilo koje jurisdikcije u kojoj su takva ponuda ili poziv nezakoniti. Podložno određenim iznimkama, dionice se ne smiju nuditi ili prodavati u Australiji, Kanadi, Japanu, Švicarskoj, Međunarodnom financijskom centru u Dubaiju, Južnoj Africi ili bilo kojoj jurisdikciji u kojoj je to nezakonito ili, u ime ili za račun, bilo kojeg državljana, rezidenta ili građanina Australije, Kanade, Japana, Švicarske, Međunarodnog financijskog centra u Dubaiju, Južne Afrike ili bilo kojoj jurisdikciji gdje je to nezakonito. Neće biti javne ponude vrijednosnih papira opisanih ovdje u Sjedinjenim Američkim Državama, Australiji, Kanadi, Japanu, Švicarskoj, Međunarodnom financijskom centru u Dubaiju, Južnoj Africi ili bilo kojoj jurisdikciji u kojoj je to nezakonito.</w:t>
      </w:r>
    </w:p>
    <w:p w14:paraId="3630D5C1" w14:textId="77777777"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Niti jedna ponuda ili poziv za stjecanje vrijednosnih papira Društva ne vrši se putem ili u vezi s ovom objavom. Svaka takva ponuda bit će izvršena isključivo putem Prospekta nakon što bude (i) odobren od strane </w:t>
      </w:r>
      <w:r w:rsidRPr="00485300">
        <w:rPr>
          <w:rFonts w:asciiTheme="minorBidi" w:eastAsiaTheme="minorHAnsi" w:hAnsiTheme="minorBidi" w:cstheme="minorBidi"/>
          <w:i/>
          <w:iCs/>
          <w:sz w:val="20"/>
          <w:szCs w:val="20"/>
          <w:lang w:eastAsia="en-US"/>
        </w:rPr>
        <w:t>Commission de Surveillance du Secteur Financier of the Grand Duchy of Luxembourg</w:t>
      </w:r>
      <w:r w:rsidRPr="00485300">
        <w:rPr>
          <w:rFonts w:asciiTheme="minorBidi" w:eastAsiaTheme="minorHAnsi" w:hAnsiTheme="minorBidi" w:cstheme="minorBidi"/>
          <w:sz w:val="20"/>
          <w:szCs w:val="20"/>
          <w:lang w:eastAsia="en-US"/>
        </w:rPr>
        <w:t>, relevantnog tijela iz Luksemburga za financijski nadzor; i (ii) objavljen u skladu s relevantnim odredbama prava EU, UK, hrvatskog ili poljskog prava u vezi s javnom ponudom u Hrvatskoj i/ili Poljskoj (svaka s dopunama ili izmjenama), za, u svakom slučaju, osobe koje su ovlaštene primiti i osloniti se na takve dokumente u skladu s njihovim uvjetima.</w:t>
      </w:r>
    </w:p>
    <w:p w14:paraId="322D5ED0" w14:textId="77777777"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Ova obavijest je upućena i namijenjena samo (i) osobama u Poljskoj, koje su fizičke osobe (pojedinci), pravni subjekti (pravne osobe) i nepravne osobe koje nisu pojedinci (organizacijska jedinica bez pravne osobnosti) (Poljski Mali Ulagatelji) i institucionalnim ulagateljima (Poljski Institucionalni Ulagatelji) u svakom slučaju u skladu s Uredbom S (</w:t>
      </w:r>
      <w:r w:rsidRPr="00485300">
        <w:rPr>
          <w:rFonts w:asciiTheme="minorBidi" w:eastAsiaTheme="minorHAnsi" w:hAnsiTheme="minorBidi" w:cstheme="minorBidi"/>
          <w:i/>
          <w:iCs/>
          <w:sz w:val="20"/>
          <w:szCs w:val="20"/>
          <w:lang w:eastAsia="en-US"/>
        </w:rPr>
        <w:t>eng</w:t>
      </w:r>
      <w:r w:rsidRPr="00485300">
        <w:rPr>
          <w:rFonts w:asciiTheme="minorBidi" w:eastAsiaTheme="minorHAnsi" w:hAnsiTheme="minorBidi" w:cstheme="minorBidi"/>
          <w:sz w:val="20"/>
          <w:szCs w:val="20"/>
          <w:lang w:eastAsia="en-US"/>
        </w:rPr>
        <w:t xml:space="preserve">. </w:t>
      </w:r>
      <w:r w:rsidRPr="00485300">
        <w:rPr>
          <w:rFonts w:asciiTheme="minorBidi" w:eastAsiaTheme="minorHAnsi" w:hAnsiTheme="minorBidi" w:cstheme="minorBidi"/>
          <w:i/>
          <w:iCs/>
          <w:sz w:val="20"/>
          <w:szCs w:val="20"/>
          <w:lang w:eastAsia="en-US"/>
        </w:rPr>
        <w:t>Regulation</w:t>
      </w:r>
      <w:r w:rsidRPr="00485300">
        <w:rPr>
          <w:rFonts w:asciiTheme="minorBidi" w:eastAsiaTheme="minorHAnsi" w:hAnsiTheme="minorBidi" w:cstheme="minorBidi"/>
          <w:sz w:val="20"/>
          <w:szCs w:val="20"/>
          <w:lang w:eastAsia="en-US"/>
        </w:rPr>
        <w:t xml:space="preserve"> S) prema američkom Zakonu o vrijednosnim papirima iz 1933. (</w:t>
      </w:r>
      <w:r w:rsidRPr="00485300">
        <w:rPr>
          <w:rFonts w:asciiTheme="minorBidi" w:eastAsiaTheme="minorHAnsi" w:hAnsiTheme="minorBidi" w:cstheme="minorBidi"/>
          <w:i/>
          <w:iCs/>
          <w:sz w:val="20"/>
          <w:szCs w:val="20"/>
          <w:lang w:eastAsia="en-US"/>
        </w:rPr>
        <w:t>eng</w:t>
      </w:r>
      <w:r w:rsidRPr="00485300">
        <w:rPr>
          <w:rFonts w:asciiTheme="minorBidi" w:eastAsiaTheme="minorHAnsi" w:hAnsiTheme="minorBidi" w:cstheme="minorBidi"/>
          <w:sz w:val="20"/>
          <w:szCs w:val="20"/>
          <w:lang w:eastAsia="en-US"/>
        </w:rPr>
        <w:t xml:space="preserve">. </w:t>
      </w:r>
      <w:r w:rsidRPr="00485300">
        <w:rPr>
          <w:rFonts w:asciiTheme="minorBidi" w:eastAsiaTheme="minorHAnsi" w:hAnsiTheme="minorBidi" w:cstheme="minorBidi"/>
          <w:i/>
          <w:iCs/>
          <w:sz w:val="20"/>
          <w:szCs w:val="20"/>
          <w:lang w:eastAsia="en-US"/>
        </w:rPr>
        <w:t>U.S. Securities Act</w:t>
      </w:r>
      <w:r w:rsidRPr="00485300">
        <w:rPr>
          <w:rFonts w:asciiTheme="minorBidi" w:eastAsiaTheme="minorHAnsi" w:hAnsiTheme="minorBidi" w:cstheme="minorBidi"/>
          <w:sz w:val="20"/>
          <w:szCs w:val="20"/>
          <w:lang w:eastAsia="en-US"/>
        </w:rPr>
        <w:t>), s izmjenama i dopunama, (ii) osobama u Hrvatskoj, koje su fizičke osobe (pojedinci), pravni subjekti (pravne osobe) i nepravne osobe koje nisu pojedinci (organizacijska jedinica bez pravne osobnosti) (Hrvatski Mali Ulagatelji) i institucionalnim ulagateljima (Hrvatski Institucionalni Ulagatelji) u svakom slučaju u skladu s Uredbom S (</w:t>
      </w:r>
      <w:r w:rsidRPr="00485300">
        <w:rPr>
          <w:rFonts w:asciiTheme="minorBidi" w:eastAsiaTheme="minorHAnsi" w:hAnsiTheme="minorBidi" w:cstheme="minorBidi"/>
          <w:i/>
          <w:iCs/>
          <w:sz w:val="20"/>
          <w:szCs w:val="20"/>
          <w:lang w:eastAsia="en-US"/>
        </w:rPr>
        <w:t>eng</w:t>
      </w:r>
      <w:r w:rsidRPr="00485300">
        <w:rPr>
          <w:rFonts w:asciiTheme="minorBidi" w:eastAsiaTheme="minorHAnsi" w:hAnsiTheme="minorBidi" w:cstheme="minorBidi"/>
          <w:sz w:val="20"/>
          <w:szCs w:val="20"/>
          <w:lang w:eastAsia="en-US"/>
        </w:rPr>
        <w:t xml:space="preserve">. </w:t>
      </w:r>
      <w:r w:rsidRPr="00485300">
        <w:rPr>
          <w:rFonts w:asciiTheme="minorBidi" w:eastAsiaTheme="minorHAnsi" w:hAnsiTheme="minorBidi" w:cstheme="minorBidi"/>
          <w:i/>
          <w:iCs/>
          <w:sz w:val="20"/>
          <w:szCs w:val="20"/>
          <w:lang w:eastAsia="en-US"/>
        </w:rPr>
        <w:t>Regulation S)</w:t>
      </w:r>
      <w:r w:rsidRPr="00485300">
        <w:rPr>
          <w:rFonts w:asciiTheme="minorBidi" w:eastAsiaTheme="minorHAnsi" w:hAnsiTheme="minorBidi" w:cstheme="minorBidi"/>
          <w:sz w:val="20"/>
          <w:szCs w:val="20"/>
          <w:lang w:eastAsia="en-US"/>
        </w:rPr>
        <w:t xml:space="preserve"> prema američkom Zakonu o vrijednosnim papirima iz 1933., (</w:t>
      </w:r>
      <w:r w:rsidRPr="00485300">
        <w:rPr>
          <w:rFonts w:asciiTheme="minorBidi" w:eastAsiaTheme="minorHAnsi" w:hAnsiTheme="minorBidi" w:cstheme="minorBidi"/>
          <w:i/>
          <w:iCs/>
          <w:sz w:val="20"/>
          <w:szCs w:val="20"/>
          <w:lang w:eastAsia="en-US"/>
        </w:rPr>
        <w:t>eng. U.S. Securities Act),</w:t>
      </w:r>
      <w:r w:rsidRPr="00485300">
        <w:rPr>
          <w:rFonts w:asciiTheme="minorBidi" w:eastAsiaTheme="minorHAnsi" w:hAnsiTheme="minorBidi" w:cstheme="minorBidi"/>
          <w:sz w:val="20"/>
          <w:szCs w:val="20"/>
          <w:lang w:eastAsia="en-US"/>
        </w:rPr>
        <w:t xml:space="preserve"> s izmjenama i dopunama, (iii) kvalificiranim institucionalnim kupcima u Sjedinjenim Američkim Državama kako su definirani u, i oslanjajući se na, Pravilo 144A prema američkom Zakonu o vrijednosnim papirima te (iv) određenim institucionalnim ulagateljima izvan Sjedinjenih Američkih Država, Poljske i Hrvatske, u skladu s Uredbom S i u skladu s iznimkom od obveze objavljivanja prospekta prema Uredbi o prospektu.</w:t>
      </w:r>
    </w:p>
    <w:p w14:paraId="64BE1CC9" w14:textId="77777777"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U Ujedinjenom Kraljevstvu ova komunikacija distribuira se i usmjerena je samo na "kvalificirane ulagatelje" u smislu UK verzije Uredbe o prospektu EU (2017/1129/EU) koja je dio UK prava temeljem Sporazuma o povlačenju iz Europske unije (</w:t>
      </w:r>
      <w:r w:rsidRPr="00485300">
        <w:rPr>
          <w:rFonts w:asciiTheme="minorBidi" w:eastAsiaTheme="minorHAnsi" w:hAnsiTheme="minorBidi" w:cstheme="minorBidi"/>
          <w:i/>
          <w:iCs/>
          <w:sz w:val="20"/>
          <w:szCs w:val="20"/>
          <w:lang w:eastAsia="en-US"/>
        </w:rPr>
        <w:t>eng</w:t>
      </w:r>
      <w:r w:rsidRPr="00485300">
        <w:rPr>
          <w:rFonts w:asciiTheme="minorBidi" w:eastAsiaTheme="minorHAnsi" w:hAnsiTheme="minorBidi" w:cstheme="minorBidi"/>
          <w:sz w:val="20"/>
          <w:szCs w:val="20"/>
          <w:lang w:eastAsia="en-US"/>
        </w:rPr>
        <w:t xml:space="preserve">. </w:t>
      </w:r>
      <w:r w:rsidRPr="00485300">
        <w:rPr>
          <w:rFonts w:asciiTheme="minorBidi" w:eastAsiaTheme="minorHAnsi" w:hAnsiTheme="minorBidi" w:cstheme="minorBidi"/>
          <w:i/>
          <w:iCs/>
          <w:sz w:val="20"/>
          <w:szCs w:val="20"/>
          <w:lang w:eastAsia="en-US"/>
        </w:rPr>
        <w:t>European Union (Withdrawal) Act</w:t>
      </w:r>
      <w:r w:rsidRPr="00485300">
        <w:rPr>
          <w:rFonts w:asciiTheme="minorBidi" w:eastAsiaTheme="minorHAnsi" w:hAnsiTheme="minorBidi" w:cstheme="minorBidi"/>
          <w:sz w:val="20"/>
          <w:szCs w:val="20"/>
          <w:lang w:eastAsia="en-US"/>
        </w:rPr>
        <w:t>) iz 2018. godine, i: (i) koji imaju profesionalno iskustvo u pitanjima koja se odnose na ulaganja i koji potpadaju pod definiciju "investicijskih profesionalaca" (</w:t>
      </w:r>
      <w:r w:rsidRPr="00485300">
        <w:rPr>
          <w:rFonts w:asciiTheme="minorBidi" w:eastAsiaTheme="minorHAnsi" w:hAnsiTheme="minorBidi" w:cstheme="minorBidi"/>
          <w:i/>
          <w:iCs/>
          <w:sz w:val="20"/>
          <w:szCs w:val="20"/>
          <w:lang w:eastAsia="en-US"/>
        </w:rPr>
        <w:t>eng</w:t>
      </w:r>
      <w:r w:rsidRPr="00485300">
        <w:rPr>
          <w:rFonts w:asciiTheme="minorBidi" w:eastAsiaTheme="minorHAnsi" w:hAnsiTheme="minorBidi" w:cstheme="minorBidi"/>
          <w:sz w:val="20"/>
          <w:szCs w:val="20"/>
          <w:lang w:eastAsia="en-US"/>
        </w:rPr>
        <w:t xml:space="preserve">. </w:t>
      </w:r>
      <w:r w:rsidRPr="00485300">
        <w:rPr>
          <w:rFonts w:asciiTheme="minorBidi" w:eastAsiaTheme="minorHAnsi" w:hAnsiTheme="minorBidi" w:cstheme="minorBidi"/>
          <w:i/>
          <w:iCs/>
          <w:sz w:val="20"/>
          <w:szCs w:val="20"/>
          <w:lang w:eastAsia="en-US"/>
        </w:rPr>
        <w:t>investment professionals</w:t>
      </w:r>
      <w:r w:rsidRPr="00485300">
        <w:rPr>
          <w:rFonts w:asciiTheme="minorBidi" w:eastAsiaTheme="minorHAnsi" w:hAnsiTheme="minorBidi" w:cstheme="minorBidi"/>
          <w:sz w:val="20"/>
          <w:szCs w:val="20"/>
          <w:lang w:eastAsia="en-US"/>
        </w:rPr>
        <w:t>) u smislu članka 19(5) Zakona o financijskim uslugama i tržištima kapitala iz 2000. (Financijska promocija) Odluka 2005 (eng. Financial Services and Markets Act 2000 (Financial Promotion) Order 2005) ("</w:t>
      </w:r>
      <w:r w:rsidRPr="00485300">
        <w:rPr>
          <w:rFonts w:asciiTheme="minorBidi" w:eastAsiaTheme="minorHAnsi" w:hAnsiTheme="minorBidi" w:cstheme="minorBidi"/>
          <w:b/>
          <w:bCs/>
          <w:sz w:val="20"/>
          <w:szCs w:val="20"/>
          <w:lang w:eastAsia="en-US"/>
        </w:rPr>
        <w:t>Odluka</w:t>
      </w:r>
      <w:r w:rsidRPr="00485300">
        <w:rPr>
          <w:rFonts w:asciiTheme="minorBidi" w:eastAsiaTheme="minorHAnsi" w:hAnsiTheme="minorBidi" w:cstheme="minorBidi"/>
          <w:sz w:val="20"/>
          <w:szCs w:val="20"/>
          <w:lang w:eastAsia="en-US"/>
        </w:rPr>
        <w:t>") ili (ii) su entiteti visoke neto vrijednosti i druge osobe kojima se takva komunikacija može na drugi način zakonito prenijeti na temelju članka 49(2)(a) do (d) Odluke (sve te osobe zajedno se nazivaju "</w:t>
      </w:r>
      <w:r w:rsidRPr="00485300">
        <w:rPr>
          <w:rFonts w:asciiTheme="minorBidi" w:eastAsiaTheme="minorHAnsi" w:hAnsiTheme="minorBidi" w:cstheme="minorBidi"/>
          <w:b/>
          <w:bCs/>
          <w:sz w:val="20"/>
          <w:szCs w:val="20"/>
          <w:lang w:eastAsia="en-US"/>
        </w:rPr>
        <w:t>Relevantne osobe</w:t>
      </w:r>
      <w:r w:rsidRPr="00485300">
        <w:rPr>
          <w:rFonts w:asciiTheme="minorBidi" w:eastAsiaTheme="minorHAnsi" w:hAnsiTheme="minorBidi" w:cstheme="minorBidi"/>
          <w:sz w:val="20"/>
          <w:szCs w:val="20"/>
          <w:lang w:eastAsia="en-US"/>
        </w:rPr>
        <w:t>"). Ova komunikacija ne smije se koristiti ili se na nju oslanjati osobe koje nisu Relevantne osobe. Bilo koje ulaganje ili ulagateljska aktivnost na koju se ova komunikacija odnosi dostupna je samo Relevantnim osobama i bit će provedena samo s Relevantnim osobama. Osobe koje distribuiraju ovu komunikaciju moraju se uvjeriti da je to zakonito učiniti. Vrijednosni papiri bit će dostupni samo Relevantnim osobama, a svaki poziv, ponuda ili sporazum za upisivanje, kupnju ili drugačije stjecanje takvih vrijednosnih papira bit će provedeni samo s Relevantnim osobama.</w:t>
      </w:r>
    </w:p>
    <w:p w14:paraId="4DC243F4" w14:textId="2D6325BD"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lastRenderedPageBreak/>
        <w:t>U vezi s Ponudom, Erste Group Bank AG kao menadžer za stabilizaciju (</w:t>
      </w:r>
      <w:r w:rsidRPr="00485300">
        <w:rPr>
          <w:rFonts w:asciiTheme="minorBidi" w:eastAsiaTheme="minorHAnsi" w:hAnsiTheme="minorBidi" w:cstheme="minorBidi"/>
          <w:i/>
          <w:iCs/>
          <w:sz w:val="20"/>
          <w:szCs w:val="20"/>
          <w:lang w:eastAsia="en-US"/>
        </w:rPr>
        <w:t xml:space="preserve">eng. </w:t>
      </w:r>
      <w:proofErr w:type="spellStart"/>
      <w:r w:rsidRPr="00485300">
        <w:rPr>
          <w:rFonts w:asciiTheme="minorBidi" w:eastAsiaTheme="minorHAnsi" w:hAnsiTheme="minorBidi" w:cstheme="minorBidi"/>
          <w:i/>
          <w:iCs/>
          <w:sz w:val="20"/>
          <w:szCs w:val="20"/>
          <w:lang w:eastAsia="en-US"/>
        </w:rPr>
        <w:t>the</w:t>
      </w:r>
      <w:proofErr w:type="spellEnd"/>
      <w:r w:rsidRPr="00485300">
        <w:rPr>
          <w:rFonts w:asciiTheme="minorBidi" w:eastAsiaTheme="minorHAnsi" w:hAnsiTheme="minorBidi" w:cstheme="minorBidi"/>
          <w:i/>
          <w:iCs/>
          <w:sz w:val="20"/>
          <w:szCs w:val="20"/>
          <w:lang w:eastAsia="en-US"/>
        </w:rPr>
        <w:t xml:space="preserve"> </w:t>
      </w:r>
      <w:proofErr w:type="spellStart"/>
      <w:r w:rsidRPr="00485300">
        <w:rPr>
          <w:rFonts w:asciiTheme="minorBidi" w:eastAsiaTheme="minorHAnsi" w:hAnsiTheme="minorBidi" w:cstheme="minorBidi"/>
          <w:i/>
          <w:iCs/>
          <w:sz w:val="20"/>
          <w:szCs w:val="20"/>
          <w:lang w:eastAsia="en-US"/>
        </w:rPr>
        <w:t>Stabilising</w:t>
      </w:r>
      <w:proofErr w:type="spellEnd"/>
      <w:r w:rsidRPr="00485300">
        <w:rPr>
          <w:rFonts w:asciiTheme="minorBidi" w:eastAsiaTheme="minorHAnsi" w:hAnsiTheme="minorBidi" w:cstheme="minorBidi"/>
          <w:i/>
          <w:iCs/>
          <w:sz w:val="20"/>
          <w:szCs w:val="20"/>
          <w:lang w:eastAsia="en-US"/>
        </w:rPr>
        <w:t xml:space="preserve"> Manager</w:t>
      </w:r>
      <w:r w:rsidRPr="00485300">
        <w:rPr>
          <w:rFonts w:asciiTheme="minorBidi" w:eastAsiaTheme="minorHAnsi" w:hAnsiTheme="minorBidi" w:cstheme="minorBidi"/>
          <w:sz w:val="20"/>
          <w:szCs w:val="20"/>
          <w:lang w:eastAsia="en-US"/>
        </w:rPr>
        <w:t>) („</w:t>
      </w:r>
      <w:r w:rsidRPr="00485300">
        <w:rPr>
          <w:rFonts w:asciiTheme="minorBidi" w:eastAsiaTheme="minorHAnsi" w:hAnsiTheme="minorBidi" w:cstheme="minorBidi"/>
          <w:b/>
          <w:bCs/>
          <w:sz w:val="20"/>
          <w:szCs w:val="20"/>
          <w:lang w:eastAsia="en-US"/>
        </w:rPr>
        <w:t xml:space="preserve">Menadžer </w:t>
      </w:r>
      <w:r w:rsidR="00E4454D">
        <w:rPr>
          <w:rFonts w:asciiTheme="minorBidi" w:eastAsiaTheme="minorHAnsi" w:hAnsiTheme="minorBidi" w:cstheme="minorBidi"/>
          <w:b/>
          <w:bCs/>
          <w:sz w:val="20"/>
          <w:szCs w:val="20"/>
          <w:lang w:eastAsia="en-US"/>
        </w:rPr>
        <w:t>Z</w:t>
      </w:r>
      <w:r w:rsidR="00E4454D" w:rsidRPr="00485300">
        <w:rPr>
          <w:rFonts w:asciiTheme="minorBidi" w:eastAsiaTheme="minorHAnsi" w:hAnsiTheme="minorBidi" w:cstheme="minorBidi"/>
          <w:b/>
          <w:bCs/>
          <w:sz w:val="20"/>
          <w:szCs w:val="20"/>
          <w:lang w:eastAsia="en-US"/>
        </w:rPr>
        <w:t xml:space="preserve">a </w:t>
      </w:r>
      <w:r w:rsidR="00E4454D">
        <w:rPr>
          <w:rFonts w:asciiTheme="minorBidi" w:eastAsiaTheme="minorHAnsi" w:hAnsiTheme="minorBidi" w:cstheme="minorBidi"/>
          <w:b/>
          <w:bCs/>
          <w:sz w:val="20"/>
          <w:szCs w:val="20"/>
          <w:lang w:eastAsia="en-US"/>
        </w:rPr>
        <w:t>S</w:t>
      </w:r>
      <w:r w:rsidRPr="00485300">
        <w:rPr>
          <w:rFonts w:asciiTheme="minorBidi" w:eastAsiaTheme="minorHAnsi" w:hAnsiTheme="minorBidi" w:cstheme="minorBidi"/>
          <w:b/>
          <w:bCs/>
          <w:sz w:val="20"/>
          <w:szCs w:val="20"/>
          <w:lang w:eastAsia="en-US"/>
        </w:rPr>
        <w:t>tabilizaciju</w:t>
      </w:r>
      <w:r w:rsidRPr="00485300">
        <w:rPr>
          <w:rFonts w:asciiTheme="minorBidi" w:eastAsiaTheme="minorHAnsi" w:hAnsiTheme="minorBidi" w:cstheme="minorBidi"/>
          <w:sz w:val="20"/>
          <w:szCs w:val="20"/>
          <w:lang w:eastAsia="en-US"/>
        </w:rPr>
        <w:t xml:space="preserve"> “) imat će pravo steći Dionice na WSE i/ili ZSE u ukupnom iznosu koji ne prelazi 10% konačnog broja Dionica obuhvaćenih Ponudom kako bi stabilizirao cijenu Dionica. Kupnja Dionica u svrhu stabilizacije bit će podložna odredbama važećih zakona i propisa, posebno Uredbe (EU) 596/2014 od 16. travnja 2014. i Delegirane uredbe Komisije (EU) 2016/1052 od 8. ožujka 2016. Transakcije kupnje vezano uz Dionice provodit će se tijekom razdoblja koje neće biti duže od 30 dana nakon datuma uvrštenja na WSE i ZSE (po cijeni koja ne prelazi konačnu cijenu Dionica ponuđenih institucionalnim ulagateljima).</w:t>
      </w:r>
    </w:p>
    <w:p w14:paraId="5FD09A8F" w14:textId="563447C8"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Niti jedan od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ajedničkih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lobalnih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oordinatora </w:t>
      </w:r>
      <w:r w:rsidRPr="00485300">
        <w:rPr>
          <w:rFonts w:asciiTheme="minorBidi" w:eastAsiaTheme="minorHAnsi" w:hAnsiTheme="minorBidi" w:cstheme="minorBidi"/>
          <w:sz w:val="20"/>
          <w:szCs w:val="20"/>
          <w:lang w:eastAsia="en-US"/>
        </w:rPr>
        <w:t>(</w:t>
      </w:r>
      <w:r w:rsidRPr="00485300">
        <w:rPr>
          <w:rFonts w:asciiTheme="minorBidi" w:eastAsiaTheme="minorHAnsi" w:hAnsiTheme="minorBidi" w:cstheme="minorBidi"/>
          <w:i/>
          <w:iCs/>
          <w:sz w:val="20"/>
          <w:szCs w:val="20"/>
          <w:lang w:eastAsia="en-US"/>
        </w:rPr>
        <w:t xml:space="preserve">eng. Joint </w:t>
      </w:r>
      <w:r w:rsidR="00CA03D9" w:rsidRPr="00485300">
        <w:rPr>
          <w:rFonts w:asciiTheme="minorBidi" w:eastAsiaTheme="minorHAnsi" w:hAnsiTheme="minorBidi" w:cstheme="minorBidi"/>
          <w:i/>
          <w:iCs/>
          <w:sz w:val="20"/>
          <w:szCs w:val="20"/>
          <w:lang w:eastAsia="en-US"/>
        </w:rPr>
        <w:t>Global Coordinators</w:t>
      </w:r>
      <w:r w:rsidRPr="00485300">
        <w:rPr>
          <w:rFonts w:asciiTheme="minorBidi" w:eastAsiaTheme="minorHAnsi" w:hAnsiTheme="minorBidi" w:cstheme="minorBidi"/>
          <w:sz w:val="20"/>
          <w:szCs w:val="20"/>
          <w:lang w:eastAsia="en-US"/>
        </w:rPr>
        <w:t xml:space="preserve">) niti bilo koja od njihovih povezanih osoba ili povezanih osoba od njihovih povezanih osoba ili bilo koji od njihovih direktora, službenika, zaposlenika, savjetnika ili agenata ne prihvaća bilo kakvu odgovornost ili obvezu za te ne daje bilo kakvu izjavu ili jamstvo, izričito ili implicitno, u vezi istinitosti, točnosti ili potpunosti informacija u ovoj objavi (ili jesu li bilo koje informacije izostavljene iz objave) ili bilo koju drugu informaciju vezanu uz Društvo, njegova društva kćeri ili povezana društva, bilo da su u pisanom, usmenom, vizualnom ili elektroničkom obliku, i neovisno o načinu na koji su prenesene ili učinjene dostupnima, niti za bilo kakav gubitak nastao uslijed bilo kakvog korištenja ove objave ili njenog sadržaja ili na bilo koji drugi način u vezi s njom. Stoga,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 xml:space="preserve">odriču se, u najvećoj mjeri dopuštenoj važećim propisima, </w:t>
      </w:r>
      <w:r w:rsidR="004223F2" w:rsidRPr="00485300">
        <w:rPr>
          <w:rFonts w:asciiTheme="minorBidi" w:eastAsiaTheme="minorHAnsi" w:hAnsiTheme="minorBidi" w:cstheme="minorBidi"/>
          <w:sz w:val="20"/>
          <w:szCs w:val="20"/>
          <w:lang w:eastAsia="en-US"/>
        </w:rPr>
        <w:t xml:space="preserve">svake </w:t>
      </w:r>
      <w:r w:rsidRPr="00485300">
        <w:rPr>
          <w:rFonts w:asciiTheme="minorBidi" w:eastAsiaTheme="minorHAnsi" w:hAnsiTheme="minorBidi" w:cstheme="minorBidi"/>
          <w:sz w:val="20"/>
          <w:szCs w:val="20"/>
          <w:lang w:eastAsia="en-US"/>
        </w:rPr>
        <w:t xml:space="preserve">i bilo </w:t>
      </w:r>
      <w:r w:rsidR="004223F2" w:rsidRPr="00485300">
        <w:rPr>
          <w:rFonts w:asciiTheme="minorBidi" w:eastAsiaTheme="minorHAnsi" w:hAnsiTheme="minorBidi" w:cstheme="minorBidi"/>
          <w:sz w:val="20"/>
          <w:szCs w:val="20"/>
          <w:lang w:eastAsia="en-US"/>
        </w:rPr>
        <w:t xml:space="preserve">kakve </w:t>
      </w:r>
      <w:r w:rsidRPr="00485300">
        <w:rPr>
          <w:rFonts w:asciiTheme="minorBidi" w:eastAsiaTheme="minorHAnsi" w:hAnsiTheme="minorBidi" w:cstheme="minorBidi"/>
          <w:sz w:val="20"/>
          <w:szCs w:val="20"/>
          <w:lang w:eastAsia="en-US"/>
        </w:rPr>
        <w:t>odgovornosti, bilo izvanugovorne odgovornosti (</w:t>
      </w:r>
      <w:r w:rsidRPr="00485300">
        <w:rPr>
          <w:rFonts w:asciiTheme="minorBidi" w:eastAsiaTheme="minorHAnsi" w:hAnsiTheme="minorBidi" w:cstheme="minorBidi"/>
          <w:i/>
          <w:iCs/>
          <w:sz w:val="20"/>
          <w:szCs w:val="20"/>
          <w:lang w:eastAsia="en-US"/>
        </w:rPr>
        <w:t>eng. Tort</w:t>
      </w:r>
      <w:r w:rsidRPr="00485300">
        <w:rPr>
          <w:rFonts w:asciiTheme="minorBidi" w:eastAsiaTheme="minorHAnsi" w:hAnsiTheme="minorBidi" w:cstheme="minorBidi"/>
          <w:sz w:val="20"/>
          <w:szCs w:val="20"/>
          <w:lang w:eastAsia="en-US"/>
        </w:rPr>
        <w:t>) ili one koj</w:t>
      </w:r>
      <w:r w:rsidR="004223F2" w:rsidRPr="00485300">
        <w:rPr>
          <w:rFonts w:asciiTheme="minorBidi" w:eastAsiaTheme="minorHAnsi" w:hAnsiTheme="minorBidi" w:cstheme="minorBidi"/>
          <w:sz w:val="20"/>
          <w:szCs w:val="20"/>
          <w:lang w:eastAsia="en-US"/>
        </w:rPr>
        <w:t>a</w:t>
      </w:r>
      <w:r w:rsidRPr="00485300">
        <w:rPr>
          <w:rFonts w:asciiTheme="minorBidi" w:eastAsiaTheme="minorHAnsi" w:hAnsiTheme="minorBidi" w:cstheme="minorBidi"/>
          <w:sz w:val="20"/>
          <w:szCs w:val="20"/>
          <w:lang w:eastAsia="en-US"/>
        </w:rPr>
        <w:t xml:space="preserve"> proizlazi iz ugovora ili na bilo koji drugi način u vezi s ovom objavom i/ili bilo kojom takvom izjavom.</w:t>
      </w:r>
    </w:p>
    <w:p w14:paraId="724BBA8C" w14:textId="59F0D381"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Zajednički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djeluju isključivo za Društvo i dioničare koji prodaju (</w:t>
      </w:r>
      <w:r w:rsidRPr="00485300">
        <w:rPr>
          <w:rFonts w:asciiTheme="minorBidi" w:eastAsiaTheme="minorHAnsi" w:hAnsiTheme="minorBidi" w:cstheme="minorBidi"/>
          <w:i/>
          <w:iCs/>
          <w:sz w:val="20"/>
          <w:szCs w:val="20"/>
          <w:lang w:eastAsia="en-US"/>
        </w:rPr>
        <w:t>eng. Selling shareholders</w:t>
      </w:r>
      <w:r w:rsidRPr="00485300">
        <w:rPr>
          <w:rFonts w:asciiTheme="minorBidi" w:eastAsiaTheme="minorHAnsi" w:hAnsiTheme="minorBidi" w:cstheme="minorBidi"/>
          <w:sz w:val="20"/>
          <w:szCs w:val="20"/>
          <w:lang w:eastAsia="en-US"/>
        </w:rPr>
        <w:t xml:space="preserve">), i nikoga drugoga u vezi s Ponudom, te svaki od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ajedničkih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lobalnih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oordinatora </w:t>
      </w:r>
      <w:r w:rsidRPr="00485300">
        <w:rPr>
          <w:rFonts w:asciiTheme="minorBidi" w:eastAsiaTheme="minorHAnsi" w:hAnsiTheme="minorBidi" w:cstheme="minorBidi"/>
          <w:sz w:val="20"/>
          <w:szCs w:val="20"/>
          <w:lang w:eastAsia="en-US"/>
        </w:rPr>
        <w:t>neće smatrati nijednu drugu osobu svojim klijentom u vezi s Ponudom i neće odgovarati nikome osim Društvu i dioničarima koji prodaju (</w:t>
      </w:r>
      <w:r w:rsidRPr="00485300">
        <w:rPr>
          <w:rFonts w:asciiTheme="minorBidi" w:eastAsiaTheme="minorHAnsi" w:hAnsiTheme="minorBidi" w:cstheme="minorBidi"/>
          <w:i/>
          <w:iCs/>
          <w:sz w:val="20"/>
          <w:szCs w:val="20"/>
          <w:lang w:eastAsia="en-US"/>
        </w:rPr>
        <w:t>eng. Selling shareholders</w:t>
      </w:r>
      <w:r w:rsidRPr="00485300">
        <w:rPr>
          <w:rFonts w:asciiTheme="minorBidi" w:eastAsiaTheme="minorHAnsi" w:hAnsiTheme="minorBidi" w:cstheme="minorBidi"/>
          <w:sz w:val="20"/>
          <w:szCs w:val="20"/>
          <w:lang w:eastAsia="en-US"/>
        </w:rPr>
        <w:t>), za pružanje zaštite koja se pruža njihovim klijentima, niti za pružanje savjeta u vezi s Ponudom, sadržajem ove obavijesti ili bilo kojom transakcijom, aranžmanom ili drugim pitanjem ovdje navedenim.</w:t>
      </w:r>
    </w:p>
    <w:p w14:paraId="5E406E7D" w14:textId="11C0AAB4"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U vezi s Ponudom,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i njihove povezane osobe mogu preuzeti dio dionica obuhvaćenih Ponudom kao početnu poziciju (</w:t>
      </w:r>
      <w:r w:rsidRPr="00485300">
        <w:rPr>
          <w:rFonts w:asciiTheme="minorBidi" w:eastAsiaTheme="minorHAnsi" w:hAnsiTheme="minorBidi" w:cstheme="minorBidi"/>
          <w:i/>
          <w:iCs/>
          <w:sz w:val="20"/>
          <w:szCs w:val="20"/>
          <w:lang w:eastAsia="en-US"/>
        </w:rPr>
        <w:t>eng. principal position</w:t>
      </w:r>
      <w:r w:rsidRPr="00485300">
        <w:rPr>
          <w:rFonts w:asciiTheme="minorBidi" w:eastAsiaTheme="minorHAnsi" w:hAnsiTheme="minorBidi" w:cstheme="minorBidi"/>
          <w:sz w:val="20"/>
          <w:szCs w:val="20"/>
          <w:lang w:eastAsia="en-US"/>
        </w:rPr>
        <w:t xml:space="preserve">) i u tom kapacitetu mogu zadržati, kupiti, prodati, ponuditi na prodaju za svoj račun takve dionice i druge vrijednosne papire Društva ili povezane investicije u vezi s Ponudom ili na drugi način. Stoga, reference u Prospektu, jednom kada bude objavljen, na dionice koje se nude, stječu, plasiraju ili na drugi način koriste, treba čitati na način da uključuje bilo koje izdavanje ili ponudu, ili stjecanje, plasiranje ili drugo korištenje od strane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ajedničkih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lobalnih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oordinatora </w:t>
      </w:r>
      <w:r w:rsidRPr="00485300">
        <w:rPr>
          <w:rFonts w:asciiTheme="minorBidi" w:eastAsiaTheme="minorHAnsi" w:hAnsiTheme="minorBidi" w:cstheme="minorBidi"/>
          <w:sz w:val="20"/>
          <w:szCs w:val="20"/>
          <w:lang w:eastAsia="en-US"/>
        </w:rPr>
        <w:t xml:space="preserve">i njihovih povezanih osoba koje djeluju u tom kapacitetu. Osim toga,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 xml:space="preserve">i njihove povezane osobe mogu sklopiti financijske aranžmane (uključujući </w:t>
      </w:r>
      <w:r w:rsidR="004223F2" w:rsidRPr="00485300">
        <w:rPr>
          <w:rFonts w:asciiTheme="minorBidi" w:eastAsiaTheme="minorHAnsi" w:hAnsiTheme="minorBidi" w:cstheme="minorBidi"/>
          <w:sz w:val="20"/>
          <w:szCs w:val="20"/>
          <w:lang w:eastAsia="en-US"/>
        </w:rPr>
        <w:t xml:space="preserve">swapove </w:t>
      </w:r>
      <w:r w:rsidRPr="00485300">
        <w:rPr>
          <w:rFonts w:asciiTheme="minorBidi" w:eastAsiaTheme="minorHAnsi" w:hAnsiTheme="minorBidi" w:cstheme="minorBidi"/>
          <w:sz w:val="20"/>
          <w:szCs w:val="20"/>
          <w:lang w:eastAsia="en-US"/>
        </w:rPr>
        <w:t>(</w:t>
      </w:r>
      <w:r w:rsidRPr="00485300">
        <w:rPr>
          <w:rFonts w:asciiTheme="minorBidi" w:eastAsiaTheme="minorHAnsi" w:hAnsiTheme="minorBidi" w:cstheme="minorBidi"/>
          <w:i/>
          <w:iCs/>
          <w:sz w:val="20"/>
          <w:szCs w:val="20"/>
          <w:lang w:eastAsia="en-US"/>
        </w:rPr>
        <w:t>eng. swaps</w:t>
      </w:r>
      <w:r w:rsidRPr="00485300">
        <w:rPr>
          <w:rFonts w:asciiTheme="minorBidi" w:eastAsiaTheme="minorHAnsi" w:hAnsiTheme="minorBidi" w:cstheme="minorBidi"/>
          <w:sz w:val="20"/>
          <w:szCs w:val="20"/>
          <w:lang w:eastAsia="en-US"/>
        </w:rPr>
        <w:t>)</w:t>
      </w:r>
      <w:r w:rsidR="00485300">
        <w:rPr>
          <w:rFonts w:asciiTheme="minorBidi" w:eastAsiaTheme="minorHAnsi" w:hAnsiTheme="minorBidi" w:cstheme="minorBidi"/>
          <w:sz w:val="20"/>
          <w:szCs w:val="20"/>
          <w:lang w:eastAsia="en-US"/>
        </w:rPr>
        <w:t>)</w:t>
      </w:r>
      <w:r w:rsidRPr="00485300">
        <w:rPr>
          <w:rFonts w:asciiTheme="minorBidi" w:eastAsiaTheme="minorHAnsi" w:hAnsiTheme="minorBidi" w:cstheme="minorBidi"/>
          <w:sz w:val="20"/>
          <w:szCs w:val="20"/>
          <w:lang w:eastAsia="en-US"/>
        </w:rPr>
        <w:t xml:space="preserve"> ili ugovore o razlici u cijeni/CFD ugovori (</w:t>
      </w:r>
      <w:r w:rsidRPr="00485300">
        <w:rPr>
          <w:rFonts w:asciiTheme="minorBidi" w:eastAsiaTheme="minorHAnsi" w:hAnsiTheme="minorBidi" w:cstheme="minorBidi"/>
          <w:i/>
          <w:iCs/>
          <w:sz w:val="20"/>
          <w:szCs w:val="20"/>
          <w:lang w:eastAsia="en-US"/>
        </w:rPr>
        <w:t>eng. Contracts for differences)</w:t>
      </w:r>
      <w:r w:rsidRPr="00485300">
        <w:rPr>
          <w:rFonts w:asciiTheme="minorBidi" w:eastAsiaTheme="minorHAnsi" w:hAnsiTheme="minorBidi" w:cstheme="minorBidi"/>
          <w:sz w:val="20"/>
          <w:szCs w:val="20"/>
          <w:lang w:eastAsia="en-US"/>
        </w:rPr>
        <w:t xml:space="preserve"> s ulagateljima u vezi s kojima </w:t>
      </w:r>
      <w:r w:rsidR="004223F2" w:rsidRPr="00485300">
        <w:rPr>
          <w:rFonts w:asciiTheme="minorBidi" w:eastAsiaTheme="minorHAnsi" w:hAnsiTheme="minorBidi" w:cstheme="minorBidi"/>
          <w:sz w:val="20"/>
          <w:szCs w:val="20"/>
          <w:lang w:eastAsia="en-US"/>
        </w:rPr>
        <w:t>Z</w:t>
      </w:r>
      <w:r w:rsidRPr="00485300">
        <w:rPr>
          <w:rFonts w:asciiTheme="minorBidi" w:eastAsiaTheme="minorHAnsi" w:hAnsiTheme="minorBidi" w:cstheme="minorBidi"/>
          <w:sz w:val="20"/>
          <w:szCs w:val="20"/>
          <w:lang w:eastAsia="en-US"/>
        </w:rPr>
        <w:t xml:space="preserve">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 xml:space="preserve">i njihove povezane osobe mogu povremeno stjecati, zadržavati ili raspolagati Dionicama Društva. Zajednički </w:t>
      </w:r>
      <w:r w:rsidR="00E4454D">
        <w:rPr>
          <w:rFonts w:asciiTheme="minorBidi" w:eastAsiaTheme="minorHAnsi" w:hAnsiTheme="minorBidi" w:cstheme="minorBidi"/>
          <w:sz w:val="20"/>
          <w:szCs w:val="20"/>
          <w:lang w:eastAsia="en-US"/>
        </w:rPr>
        <w:t>G</w:t>
      </w:r>
      <w:r w:rsidR="00E4454D" w:rsidRPr="00485300">
        <w:rPr>
          <w:rFonts w:asciiTheme="minorBidi" w:eastAsiaTheme="minorHAnsi" w:hAnsiTheme="minorBidi" w:cstheme="minorBidi"/>
          <w:sz w:val="20"/>
          <w:szCs w:val="20"/>
          <w:lang w:eastAsia="en-US"/>
        </w:rPr>
        <w:t xml:space="preserve">lobalni </w:t>
      </w:r>
      <w:r w:rsidR="00E4454D">
        <w:rPr>
          <w:rFonts w:asciiTheme="minorBidi" w:eastAsiaTheme="minorHAnsi" w:hAnsiTheme="minorBidi" w:cstheme="minorBidi"/>
          <w:sz w:val="20"/>
          <w:szCs w:val="20"/>
          <w:lang w:eastAsia="en-US"/>
        </w:rPr>
        <w:t>K</w:t>
      </w:r>
      <w:r w:rsidR="00E4454D" w:rsidRPr="00485300">
        <w:rPr>
          <w:rFonts w:asciiTheme="minorBidi" w:eastAsiaTheme="minorHAnsi" w:hAnsiTheme="minorBidi" w:cstheme="minorBidi"/>
          <w:sz w:val="20"/>
          <w:szCs w:val="20"/>
          <w:lang w:eastAsia="en-US"/>
        </w:rPr>
        <w:t xml:space="preserve">oordinatori </w:t>
      </w:r>
      <w:r w:rsidRPr="00485300">
        <w:rPr>
          <w:rFonts w:asciiTheme="minorBidi" w:eastAsiaTheme="minorHAnsi" w:hAnsiTheme="minorBidi" w:cstheme="minorBidi"/>
          <w:sz w:val="20"/>
          <w:szCs w:val="20"/>
          <w:lang w:eastAsia="en-US"/>
        </w:rPr>
        <w:t>ne namjeravaju otkriti opseg bilo kojih takvih investicija ili transakcija, osim u skladu s bilo kojim pravnim ili regulatornim obvezama da to učine.</w:t>
      </w:r>
    </w:p>
    <w:p w14:paraId="3D1B605D" w14:textId="77777777" w:rsidR="00981F75" w:rsidRPr="00981F75" w:rsidRDefault="00981F75" w:rsidP="00981F75">
      <w:pPr>
        <w:pStyle w:val="NormalWeb"/>
        <w:jc w:val="both"/>
        <w:rPr>
          <w:rFonts w:asciiTheme="minorBidi" w:hAnsiTheme="minorBidi" w:cstheme="minorBidi"/>
          <w:sz w:val="20"/>
          <w:szCs w:val="20"/>
        </w:rPr>
      </w:pPr>
      <w:r w:rsidRPr="00981F75">
        <w:rPr>
          <w:rStyle w:val="Strong"/>
          <w:rFonts w:asciiTheme="minorBidi" w:hAnsiTheme="minorBidi" w:cstheme="minorBidi"/>
          <w:sz w:val="20"/>
          <w:szCs w:val="20"/>
        </w:rPr>
        <w:t>Informacije za distributere</w:t>
      </w:r>
    </w:p>
    <w:p w14:paraId="5E4C9671" w14:textId="22AFB4F4"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Isključivo za potrebe zahtjeva za upravljanje proizvodima sadržanih u: (a) EU Direktivi 2014/65/EU o tržištu financijskih instrumenata, s izmjenama i dopunama ("</w:t>
      </w:r>
      <w:r w:rsidRPr="00485300">
        <w:rPr>
          <w:rFonts w:asciiTheme="minorBidi" w:eastAsiaTheme="minorHAnsi" w:hAnsiTheme="minorBidi" w:cstheme="minorBidi"/>
          <w:b/>
          <w:bCs/>
          <w:sz w:val="20"/>
          <w:szCs w:val="20"/>
          <w:lang w:eastAsia="en-US"/>
        </w:rPr>
        <w:t>MiFID II</w:t>
      </w:r>
      <w:r w:rsidRPr="00485300">
        <w:rPr>
          <w:rFonts w:asciiTheme="minorBidi" w:eastAsiaTheme="minorHAnsi" w:hAnsiTheme="minorBidi" w:cstheme="minorBidi"/>
          <w:sz w:val="20"/>
          <w:szCs w:val="20"/>
          <w:lang w:eastAsia="en-US"/>
        </w:rPr>
        <w:t>"); (b) Člancima 9. i 10. Delegirane direktive Komisije (EU) 2017/593 o dopuni MiFID II; i (c) lokalnim provedbenim mjerama (zajedno, "</w:t>
      </w:r>
      <w:r w:rsidRPr="00485300">
        <w:rPr>
          <w:rFonts w:asciiTheme="minorBidi" w:eastAsiaTheme="minorHAnsi" w:hAnsiTheme="minorBidi" w:cstheme="minorBidi"/>
          <w:b/>
          <w:bCs/>
          <w:sz w:val="20"/>
          <w:szCs w:val="20"/>
          <w:lang w:eastAsia="en-US"/>
        </w:rPr>
        <w:t xml:space="preserve">Zahtjevi </w:t>
      </w:r>
      <w:r w:rsidR="00E4454D">
        <w:rPr>
          <w:rFonts w:asciiTheme="minorBidi" w:eastAsiaTheme="minorHAnsi" w:hAnsiTheme="minorBidi" w:cstheme="minorBidi"/>
          <w:b/>
          <w:bCs/>
          <w:sz w:val="20"/>
          <w:szCs w:val="20"/>
          <w:lang w:eastAsia="en-US"/>
        </w:rPr>
        <w:t>Z</w:t>
      </w:r>
      <w:r w:rsidR="00E4454D" w:rsidRPr="00485300">
        <w:rPr>
          <w:rFonts w:asciiTheme="minorBidi" w:eastAsiaTheme="minorHAnsi" w:hAnsiTheme="minorBidi" w:cstheme="minorBidi"/>
          <w:b/>
          <w:bCs/>
          <w:sz w:val="20"/>
          <w:szCs w:val="20"/>
          <w:lang w:eastAsia="en-US"/>
        </w:rPr>
        <w:t xml:space="preserve">a </w:t>
      </w:r>
      <w:r w:rsidR="00E4454D">
        <w:rPr>
          <w:rFonts w:asciiTheme="minorBidi" w:eastAsiaTheme="minorHAnsi" w:hAnsiTheme="minorBidi" w:cstheme="minorBidi"/>
          <w:b/>
          <w:bCs/>
          <w:sz w:val="20"/>
          <w:szCs w:val="20"/>
          <w:lang w:eastAsia="en-US"/>
        </w:rPr>
        <w:t>U</w:t>
      </w:r>
      <w:r w:rsidRPr="00485300">
        <w:rPr>
          <w:rFonts w:asciiTheme="minorBidi" w:eastAsiaTheme="minorHAnsi" w:hAnsiTheme="minorBidi" w:cstheme="minorBidi"/>
          <w:b/>
          <w:bCs/>
          <w:sz w:val="20"/>
          <w:szCs w:val="20"/>
          <w:lang w:eastAsia="en-US"/>
        </w:rPr>
        <w:t xml:space="preserve">pravljanje </w:t>
      </w:r>
      <w:r w:rsidR="00E4454D">
        <w:rPr>
          <w:rFonts w:asciiTheme="minorBidi" w:eastAsiaTheme="minorHAnsi" w:hAnsiTheme="minorBidi" w:cstheme="minorBidi"/>
          <w:b/>
          <w:bCs/>
          <w:sz w:val="20"/>
          <w:szCs w:val="20"/>
          <w:lang w:eastAsia="en-US"/>
        </w:rPr>
        <w:t>P</w:t>
      </w:r>
      <w:r w:rsidRPr="00485300">
        <w:rPr>
          <w:rFonts w:asciiTheme="minorBidi" w:eastAsiaTheme="minorHAnsi" w:hAnsiTheme="minorBidi" w:cstheme="minorBidi"/>
          <w:b/>
          <w:bCs/>
          <w:sz w:val="20"/>
          <w:szCs w:val="20"/>
          <w:lang w:eastAsia="en-US"/>
        </w:rPr>
        <w:t xml:space="preserve">roizvodima </w:t>
      </w:r>
      <w:proofErr w:type="spellStart"/>
      <w:r w:rsidRPr="00485300">
        <w:rPr>
          <w:rFonts w:asciiTheme="minorBidi" w:eastAsiaTheme="minorHAnsi" w:hAnsiTheme="minorBidi" w:cstheme="minorBidi"/>
          <w:b/>
          <w:bCs/>
          <w:sz w:val="20"/>
          <w:szCs w:val="20"/>
          <w:lang w:eastAsia="en-US"/>
        </w:rPr>
        <w:t>MiFID</w:t>
      </w:r>
      <w:proofErr w:type="spellEnd"/>
      <w:r w:rsidRPr="00485300">
        <w:rPr>
          <w:rFonts w:asciiTheme="minorBidi" w:eastAsiaTheme="minorHAnsi" w:hAnsiTheme="minorBidi" w:cstheme="minorBidi"/>
          <w:b/>
          <w:bCs/>
          <w:sz w:val="20"/>
          <w:szCs w:val="20"/>
          <w:lang w:eastAsia="en-US"/>
        </w:rPr>
        <w:t xml:space="preserve"> II</w:t>
      </w:r>
      <w:r w:rsidRPr="00485300">
        <w:rPr>
          <w:rFonts w:asciiTheme="minorBidi" w:eastAsiaTheme="minorHAnsi" w:hAnsiTheme="minorBidi" w:cstheme="minorBidi"/>
          <w:sz w:val="20"/>
          <w:szCs w:val="20"/>
          <w:lang w:eastAsia="en-US"/>
        </w:rPr>
        <w:t xml:space="preserve">"), te odričući se svih i bilo kakvih odgovornosti, bilo da proizlaze iz izvanugovorne odgovornosti, ugovora ili na drugi način, koje bi bilo koji "proizvođač" (u smislu Zahtjeva </w:t>
      </w:r>
      <w:r w:rsidR="00E4454D">
        <w:rPr>
          <w:rFonts w:asciiTheme="minorBidi" w:eastAsiaTheme="minorHAnsi" w:hAnsiTheme="minorBidi" w:cstheme="minorBidi"/>
          <w:sz w:val="20"/>
          <w:szCs w:val="20"/>
          <w:lang w:eastAsia="en-US"/>
        </w:rPr>
        <w:t>Z</w:t>
      </w:r>
      <w:r w:rsidR="00E4454D" w:rsidRPr="00485300">
        <w:rPr>
          <w:rFonts w:asciiTheme="minorBidi" w:eastAsiaTheme="minorHAnsi" w:hAnsiTheme="minorBidi" w:cstheme="minorBidi"/>
          <w:sz w:val="20"/>
          <w:szCs w:val="20"/>
          <w:lang w:eastAsia="en-US"/>
        </w:rPr>
        <w:t xml:space="preserve">a </w:t>
      </w:r>
      <w:r w:rsidR="00E4454D">
        <w:rPr>
          <w:rFonts w:asciiTheme="minorBidi" w:eastAsiaTheme="minorHAnsi" w:hAnsiTheme="minorBidi" w:cstheme="minorBidi"/>
          <w:sz w:val="20"/>
          <w:szCs w:val="20"/>
          <w:lang w:eastAsia="en-US"/>
        </w:rPr>
        <w:t>U</w:t>
      </w:r>
      <w:r w:rsidRPr="00485300">
        <w:rPr>
          <w:rFonts w:asciiTheme="minorBidi" w:eastAsiaTheme="minorHAnsi" w:hAnsiTheme="minorBidi" w:cstheme="minorBidi"/>
          <w:sz w:val="20"/>
          <w:szCs w:val="20"/>
          <w:lang w:eastAsia="en-US"/>
        </w:rPr>
        <w:t xml:space="preserve">pravljanje </w:t>
      </w:r>
      <w:r w:rsidR="00E4454D">
        <w:rPr>
          <w:rFonts w:asciiTheme="minorBidi" w:eastAsiaTheme="minorHAnsi" w:hAnsiTheme="minorBidi" w:cstheme="minorBidi"/>
          <w:sz w:val="20"/>
          <w:szCs w:val="20"/>
          <w:lang w:eastAsia="en-US"/>
        </w:rPr>
        <w:t>P</w:t>
      </w:r>
      <w:r w:rsidRPr="00485300">
        <w:rPr>
          <w:rFonts w:asciiTheme="minorBidi" w:eastAsiaTheme="minorHAnsi" w:hAnsiTheme="minorBidi" w:cstheme="minorBidi"/>
          <w:sz w:val="20"/>
          <w:szCs w:val="20"/>
          <w:lang w:eastAsia="en-US"/>
        </w:rPr>
        <w:t xml:space="preserve">roizvodima </w:t>
      </w:r>
      <w:proofErr w:type="spellStart"/>
      <w:r w:rsidRPr="00485300">
        <w:rPr>
          <w:rFonts w:asciiTheme="minorBidi" w:eastAsiaTheme="minorHAnsi" w:hAnsiTheme="minorBidi" w:cstheme="minorBidi"/>
          <w:sz w:val="20"/>
          <w:szCs w:val="20"/>
          <w:lang w:eastAsia="en-US"/>
        </w:rPr>
        <w:t>MiFID</w:t>
      </w:r>
      <w:proofErr w:type="spellEnd"/>
      <w:r w:rsidRPr="00485300">
        <w:rPr>
          <w:rFonts w:asciiTheme="minorBidi" w:eastAsiaTheme="minorHAnsi" w:hAnsiTheme="minorBidi" w:cstheme="minorBidi"/>
          <w:sz w:val="20"/>
          <w:szCs w:val="20"/>
          <w:lang w:eastAsia="en-US"/>
        </w:rPr>
        <w:t xml:space="preserve"> II) inače mogao imati u vezi s time, Dionice su prošle proces odobravanja proizvoda, koji je utvrdio da su te Dionice: (i) kompatibilne s ciljnim krajnjim tržištem </w:t>
      </w:r>
      <w:r w:rsidRPr="00485300">
        <w:rPr>
          <w:rFonts w:asciiTheme="minorBidi" w:eastAsiaTheme="minorHAnsi" w:hAnsiTheme="minorBidi" w:cstheme="minorBidi"/>
          <w:sz w:val="20"/>
          <w:szCs w:val="20"/>
          <w:lang w:eastAsia="en-US"/>
        </w:rPr>
        <w:lastRenderedPageBreak/>
        <w:t>malih ulagatelja i ulagatelja koji zadovoljavaju kriterije profesionalnih klijenata i prihvatljivih suprotnih strana, svaki prema definiciji iz MiFID II; i (ii) prihvatljive za distribuciju kroz sve distribucijske kanale koje MiFID II dopušta ("</w:t>
      </w:r>
      <w:r w:rsidRPr="00485300">
        <w:rPr>
          <w:rFonts w:asciiTheme="minorBidi" w:eastAsiaTheme="minorHAnsi" w:hAnsiTheme="minorBidi" w:cstheme="minorBidi"/>
          <w:b/>
          <w:bCs/>
          <w:sz w:val="20"/>
          <w:szCs w:val="20"/>
          <w:lang w:eastAsia="en-US"/>
        </w:rPr>
        <w:t xml:space="preserve">Procjena </w:t>
      </w:r>
      <w:r w:rsidR="00E4454D">
        <w:rPr>
          <w:rFonts w:asciiTheme="minorBidi" w:eastAsiaTheme="minorHAnsi" w:hAnsiTheme="minorBidi" w:cstheme="minorBidi"/>
          <w:b/>
          <w:bCs/>
          <w:sz w:val="20"/>
          <w:szCs w:val="20"/>
          <w:lang w:eastAsia="en-US"/>
        </w:rPr>
        <w:t>C</w:t>
      </w:r>
      <w:r w:rsidR="00E4454D" w:rsidRPr="00485300">
        <w:rPr>
          <w:rFonts w:asciiTheme="minorBidi" w:eastAsiaTheme="minorHAnsi" w:hAnsiTheme="minorBidi" w:cstheme="minorBidi"/>
          <w:b/>
          <w:bCs/>
          <w:sz w:val="20"/>
          <w:szCs w:val="20"/>
          <w:lang w:eastAsia="en-US"/>
        </w:rPr>
        <w:t xml:space="preserve">iljnog </w:t>
      </w:r>
      <w:r w:rsidR="00E4454D">
        <w:rPr>
          <w:rFonts w:asciiTheme="minorBidi" w:eastAsiaTheme="minorHAnsi" w:hAnsiTheme="minorBidi" w:cstheme="minorBidi"/>
          <w:b/>
          <w:bCs/>
          <w:sz w:val="20"/>
          <w:szCs w:val="20"/>
          <w:lang w:eastAsia="en-US"/>
        </w:rPr>
        <w:t>T</w:t>
      </w:r>
      <w:r w:rsidR="00E4454D" w:rsidRPr="00485300">
        <w:rPr>
          <w:rFonts w:asciiTheme="minorBidi" w:eastAsiaTheme="minorHAnsi" w:hAnsiTheme="minorBidi" w:cstheme="minorBidi"/>
          <w:b/>
          <w:bCs/>
          <w:sz w:val="20"/>
          <w:szCs w:val="20"/>
          <w:lang w:eastAsia="en-US"/>
        </w:rPr>
        <w:t>ržišta</w:t>
      </w:r>
      <w:r w:rsidRPr="00485300">
        <w:rPr>
          <w:rFonts w:asciiTheme="minorBidi" w:eastAsiaTheme="minorHAnsi" w:hAnsiTheme="minorBidi" w:cstheme="minorBidi"/>
          <w:sz w:val="20"/>
          <w:szCs w:val="20"/>
          <w:lang w:eastAsia="en-US"/>
        </w:rPr>
        <w:t xml:space="preserve">"). Neovisno o Procjeni </w:t>
      </w:r>
      <w:proofErr w:type="spellStart"/>
      <w:r w:rsidR="00E4454D">
        <w:rPr>
          <w:rFonts w:asciiTheme="minorBidi" w:eastAsiaTheme="minorHAnsi" w:hAnsiTheme="minorBidi" w:cstheme="minorBidi"/>
          <w:sz w:val="20"/>
          <w:szCs w:val="20"/>
          <w:lang w:eastAsia="en-US"/>
        </w:rPr>
        <w:t>C</w:t>
      </w:r>
      <w:r w:rsidR="00E4454D" w:rsidRPr="00485300">
        <w:rPr>
          <w:rFonts w:asciiTheme="minorBidi" w:eastAsiaTheme="minorHAnsi" w:hAnsiTheme="minorBidi" w:cstheme="minorBidi"/>
          <w:sz w:val="20"/>
          <w:szCs w:val="20"/>
          <w:lang w:eastAsia="en-US"/>
        </w:rPr>
        <w:t>ljnog</w:t>
      </w:r>
      <w:proofErr w:type="spellEnd"/>
      <w:r w:rsidR="00E4454D" w:rsidRPr="00485300">
        <w:rPr>
          <w:rFonts w:asciiTheme="minorBidi" w:eastAsiaTheme="minorHAnsi" w:hAnsiTheme="minorBidi" w:cstheme="minorBidi"/>
          <w:sz w:val="20"/>
          <w:szCs w:val="20"/>
          <w:lang w:eastAsia="en-US"/>
        </w:rPr>
        <w:t xml:space="preserve"> </w:t>
      </w:r>
      <w:r w:rsidR="00E4454D">
        <w:rPr>
          <w:rFonts w:asciiTheme="minorBidi" w:eastAsiaTheme="minorHAnsi" w:hAnsiTheme="minorBidi" w:cstheme="minorBidi"/>
          <w:sz w:val="20"/>
          <w:szCs w:val="20"/>
          <w:lang w:eastAsia="en-US"/>
        </w:rPr>
        <w:t>T</w:t>
      </w:r>
      <w:r w:rsidR="00E4454D" w:rsidRPr="00485300">
        <w:rPr>
          <w:rFonts w:asciiTheme="minorBidi" w:eastAsiaTheme="minorHAnsi" w:hAnsiTheme="minorBidi" w:cstheme="minorBidi"/>
          <w:sz w:val="20"/>
          <w:szCs w:val="20"/>
          <w:lang w:eastAsia="en-US"/>
        </w:rPr>
        <w:t>ržišta</w:t>
      </w:r>
      <w:r w:rsidRPr="00485300">
        <w:rPr>
          <w:rFonts w:asciiTheme="minorBidi" w:eastAsiaTheme="minorHAnsi" w:hAnsiTheme="minorBidi" w:cstheme="minorBidi"/>
          <w:sz w:val="20"/>
          <w:szCs w:val="20"/>
          <w:lang w:eastAsia="en-US"/>
        </w:rPr>
        <w:t>, distributeri trebaju napomenuti da: cijena Dionica može pasti i ulagatelji mogu izgubiti cijeli ili dio svog ulaganja; Dionice ne nude zajamčeni prihod niti kapitalnu zaštitu (</w:t>
      </w:r>
      <w:r w:rsidRPr="00485300">
        <w:rPr>
          <w:rFonts w:asciiTheme="minorBidi" w:eastAsiaTheme="minorHAnsi" w:hAnsiTheme="minorBidi" w:cstheme="minorBidi"/>
          <w:i/>
          <w:iCs/>
          <w:sz w:val="20"/>
          <w:szCs w:val="20"/>
          <w:lang w:eastAsia="en-US"/>
        </w:rPr>
        <w:t>eng.capital protection</w:t>
      </w:r>
      <w:r w:rsidRPr="00485300">
        <w:rPr>
          <w:rFonts w:asciiTheme="minorBidi" w:eastAsiaTheme="minorHAnsi" w:hAnsiTheme="minorBidi" w:cstheme="minorBidi"/>
          <w:sz w:val="20"/>
          <w:szCs w:val="20"/>
          <w:lang w:eastAsia="en-US"/>
        </w:rPr>
        <w:t xml:space="preserve">); i ulaganje u Dionice kompatibilno je samo s ulagateljima kojima nije potreban zajamčeni prihod ili kapitalna zaštita, koji su (bilo sami ili u suradnji s odgovarajućim financijskim ili drugim savjetnikom) sposobni procijeniti prednosti i rizike takvog ulaganja i koji imaju dovoljno resursa da podnesu bilo kakve gubitke koji iz toga mogu proizaći. Procjena </w:t>
      </w:r>
      <w:r w:rsidR="00E4454D">
        <w:rPr>
          <w:rFonts w:asciiTheme="minorBidi" w:eastAsiaTheme="minorHAnsi" w:hAnsiTheme="minorBidi" w:cstheme="minorBidi"/>
          <w:sz w:val="20"/>
          <w:szCs w:val="20"/>
          <w:lang w:eastAsia="en-US"/>
        </w:rPr>
        <w:t>C</w:t>
      </w:r>
      <w:r w:rsidR="00E4454D" w:rsidRPr="00485300">
        <w:rPr>
          <w:rFonts w:asciiTheme="minorBidi" w:eastAsiaTheme="minorHAnsi" w:hAnsiTheme="minorBidi" w:cstheme="minorBidi"/>
          <w:sz w:val="20"/>
          <w:szCs w:val="20"/>
          <w:lang w:eastAsia="en-US"/>
        </w:rPr>
        <w:t xml:space="preserve">iljnog </w:t>
      </w:r>
      <w:r w:rsidR="00E4454D">
        <w:rPr>
          <w:rFonts w:asciiTheme="minorBidi" w:eastAsiaTheme="minorHAnsi" w:hAnsiTheme="minorBidi" w:cstheme="minorBidi"/>
          <w:sz w:val="20"/>
          <w:szCs w:val="20"/>
          <w:lang w:eastAsia="en-US"/>
        </w:rPr>
        <w:t>T</w:t>
      </w:r>
      <w:r w:rsidR="00E4454D" w:rsidRPr="00485300">
        <w:rPr>
          <w:rFonts w:asciiTheme="minorBidi" w:eastAsiaTheme="minorHAnsi" w:hAnsiTheme="minorBidi" w:cstheme="minorBidi"/>
          <w:sz w:val="20"/>
          <w:szCs w:val="20"/>
          <w:lang w:eastAsia="en-US"/>
        </w:rPr>
        <w:t xml:space="preserve">ržišta </w:t>
      </w:r>
      <w:r w:rsidRPr="00485300">
        <w:rPr>
          <w:rFonts w:asciiTheme="minorBidi" w:eastAsiaTheme="minorHAnsi" w:hAnsiTheme="minorBidi" w:cstheme="minorBidi"/>
          <w:sz w:val="20"/>
          <w:szCs w:val="20"/>
          <w:lang w:eastAsia="en-US"/>
        </w:rPr>
        <w:t>ne dovodi u pitanje zahtjeve bilo kakvih ugovornih, zakonskih ili regulatornih ograničenja prodaje u vezi s Ponudom.</w:t>
      </w:r>
    </w:p>
    <w:p w14:paraId="3B3451E8" w14:textId="0F233354" w:rsidR="00981F7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 xml:space="preserve">Radi izbjegavanja sumnje, Procjena </w:t>
      </w:r>
      <w:r w:rsidR="00E4454D">
        <w:rPr>
          <w:rFonts w:asciiTheme="minorBidi" w:eastAsiaTheme="minorHAnsi" w:hAnsiTheme="minorBidi" w:cstheme="minorBidi"/>
          <w:sz w:val="20"/>
          <w:szCs w:val="20"/>
          <w:lang w:eastAsia="en-US"/>
        </w:rPr>
        <w:t>C</w:t>
      </w:r>
      <w:r w:rsidR="00E4454D" w:rsidRPr="00485300">
        <w:rPr>
          <w:rFonts w:asciiTheme="minorBidi" w:eastAsiaTheme="minorHAnsi" w:hAnsiTheme="minorBidi" w:cstheme="minorBidi"/>
          <w:sz w:val="20"/>
          <w:szCs w:val="20"/>
          <w:lang w:eastAsia="en-US"/>
        </w:rPr>
        <w:t xml:space="preserve">iljnog </w:t>
      </w:r>
      <w:r w:rsidR="00E4454D">
        <w:rPr>
          <w:rFonts w:asciiTheme="minorBidi" w:eastAsiaTheme="minorHAnsi" w:hAnsiTheme="minorBidi" w:cstheme="minorBidi"/>
          <w:sz w:val="20"/>
          <w:szCs w:val="20"/>
          <w:lang w:eastAsia="en-US"/>
        </w:rPr>
        <w:t>T</w:t>
      </w:r>
      <w:r w:rsidR="00E4454D" w:rsidRPr="00485300">
        <w:rPr>
          <w:rFonts w:asciiTheme="minorBidi" w:eastAsiaTheme="minorHAnsi" w:hAnsiTheme="minorBidi" w:cstheme="minorBidi"/>
          <w:sz w:val="20"/>
          <w:szCs w:val="20"/>
          <w:lang w:eastAsia="en-US"/>
        </w:rPr>
        <w:t xml:space="preserve">ržišta </w:t>
      </w:r>
      <w:r w:rsidRPr="00485300">
        <w:rPr>
          <w:rFonts w:asciiTheme="minorBidi" w:eastAsiaTheme="minorHAnsi" w:hAnsiTheme="minorBidi" w:cstheme="minorBidi"/>
          <w:sz w:val="20"/>
          <w:szCs w:val="20"/>
          <w:lang w:eastAsia="en-US"/>
        </w:rPr>
        <w:t>ne predstavlja: (a) procjenu prikladnosti ili primjerenosti za potrebe MiFID II; niti (b) preporuku bilo kojem ulagatelju ili grupi ulagatelja da ulože u, ili kupe, ili poduzmu bilo kakvu drugu radnju u vezi s Dionicama.</w:t>
      </w:r>
    </w:p>
    <w:p w14:paraId="1423EE4F" w14:textId="34AC7207" w:rsidR="005F6795" w:rsidRPr="00485300" w:rsidRDefault="00981F75" w:rsidP="00485300">
      <w:pPr>
        <w:pStyle w:val="NormalWeb"/>
        <w:spacing w:before="0" w:beforeAutospacing="0" w:afterAutospacing="0" w:line="264" w:lineRule="auto"/>
        <w:jc w:val="both"/>
        <w:rPr>
          <w:rFonts w:asciiTheme="minorBidi" w:eastAsiaTheme="minorHAnsi" w:hAnsiTheme="minorBidi" w:cstheme="minorBidi"/>
          <w:sz w:val="20"/>
          <w:szCs w:val="20"/>
          <w:lang w:eastAsia="en-US"/>
        </w:rPr>
      </w:pPr>
      <w:r w:rsidRPr="00485300">
        <w:rPr>
          <w:rFonts w:asciiTheme="minorBidi" w:eastAsiaTheme="minorHAnsi" w:hAnsiTheme="minorBidi" w:cstheme="minorBidi"/>
          <w:sz w:val="20"/>
          <w:szCs w:val="20"/>
          <w:lang w:eastAsia="en-US"/>
        </w:rPr>
        <w:t>Svaki distributer odgovoran je za provođenje vlastite procjene ciljnog tržišta u vezi s Dionicama i za određivanje odgovarajućih kanala distribucije.</w:t>
      </w:r>
    </w:p>
    <w:sectPr w:rsidR="005F6795" w:rsidRPr="00485300">
      <w:headerReference w:type="default" r:id="rId15"/>
      <w:footerReference w:type="default" r:id="rId16"/>
      <w:pgSz w:w="11900" w:h="16840"/>
      <w:pgMar w:top="269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9772" w14:textId="77777777" w:rsidR="001C54A6" w:rsidRPr="00981F75" w:rsidRDefault="001C54A6">
      <w:r w:rsidRPr="00981F75">
        <w:separator/>
      </w:r>
    </w:p>
  </w:endnote>
  <w:endnote w:type="continuationSeparator" w:id="0">
    <w:p w14:paraId="701CB115" w14:textId="77777777" w:rsidR="001C54A6" w:rsidRPr="00981F75" w:rsidRDefault="001C54A6">
      <w:r w:rsidRPr="00981F75">
        <w:continuationSeparator/>
      </w:r>
    </w:p>
  </w:endnote>
  <w:endnote w:type="continuationNotice" w:id="1">
    <w:p w14:paraId="155DF983" w14:textId="77777777" w:rsidR="001C54A6" w:rsidRPr="00981F75" w:rsidRDefault="001C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C4CB" w14:textId="77777777" w:rsidR="00DE4115" w:rsidRPr="00981F75" w:rsidRDefault="00F213A1">
    <w:pPr>
      <w:pStyle w:val="Footer"/>
      <w:jc w:val="right"/>
    </w:pPr>
    <w:r w:rsidRPr="00981F75">
      <w:rPr>
        <w:noProof/>
        <w:lang w:eastAsia="hr-HR"/>
      </w:rPr>
      <mc:AlternateContent>
        <mc:Choice Requires="wps">
          <w:drawing>
            <wp:anchor distT="0" distB="0" distL="114300" distR="114300" simplePos="0" relativeHeight="251658240" behindDoc="0" locked="0" layoutInCell="1" allowOverlap="1" wp14:anchorId="25273533" wp14:editId="6C309E65">
              <wp:simplePos x="0" y="0"/>
              <wp:positionH relativeFrom="column">
                <wp:posOffset>3265805</wp:posOffset>
              </wp:positionH>
              <wp:positionV relativeFrom="paragraph">
                <wp:posOffset>-496570</wp:posOffset>
              </wp:positionV>
              <wp:extent cx="1718945" cy="422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422275"/>
                      </a:xfrm>
                      <a:prstGeom prst="rect">
                        <a:avLst/>
                      </a:prstGeom>
                      <a:solidFill>
                        <a:schemeClr val="lt1">
                          <a:lumMod val="100000"/>
                          <a:lumOff val="0"/>
                        </a:schemeClr>
                      </a:solidFill>
                      <a:ln>
                        <a:noFill/>
                      </a:ln>
                    </wps:spPr>
                    <wps:txbx>
                      <w:txbxContent>
                        <w:p w14:paraId="6D5315D7" w14:textId="77777777" w:rsidR="00DE4115" w:rsidRPr="00981F75" w:rsidRDefault="001F041C">
                          <w:pPr>
                            <w:rPr>
                              <w:rFonts w:ascii="Arial" w:hAnsi="Arial" w:cs="Arial"/>
                              <w:b/>
                              <w:sz w:val="10"/>
                              <w:szCs w:val="10"/>
                            </w:rPr>
                          </w:pPr>
                          <w:r w:rsidRPr="00981F75">
                            <w:rPr>
                              <w:rFonts w:ascii="Arial" w:hAnsi="Arial" w:cs="Arial"/>
                              <w:b/>
                              <w:sz w:val="10"/>
                              <w:szCs w:val="10"/>
                            </w:rPr>
                            <w:t xml:space="preserve">Studenac </w:t>
                          </w:r>
                          <w:r w:rsidR="00F213A1" w:rsidRPr="00981F75">
                            <w:rPr>
                              <w:rFonts w:ascii="Arial" w:hAnsi="Arial" w:cs="Arial"/>
                              <w:b/>
                              <w:sz w:val="10"/>
                              <w:szCs w:val="10"/>
                            </w:rPr>
                            <w:t>Group S.A.</w:t>
                          </w:r>
                        </w:p>
                        <w:p w14:paraId="2779C7B4" w14:textId="77777777" w:rsidR="00DE4115" w:rsidRPr="00981F75" w:rsidRDefault="00F213A1">
                          <w:pPr>
                            <w:rPr>
                              <w:rFonts w:ascii="Arial" w:hAnsi="Arial" w:cs="Arial"/>
                              <w:sz w:val="10"/>
                              <w:szCs w:val="10"/>
                            </w:rPr>
                          </w:pPr>
                          <w:r w:rsidRPr="00981F75">
                            <w:rPr>
                              <w:rFonts w:ascii="Arial" w:hAnsi="Arial" w:cs="Arial"/>
                              <w:sz w:val="10"/>
                              <w:szCs w:val="10"/>
                            </w:rPr>
                            <w:t>1, Rue Jean Piret, L-2350 Luxembourg</w:t>
                          </w:r>
                        </w:p>
                        <w:p w14:paraId="05EEFBC4" w14:textId="77777777" w:rsidR="00DE4115" w:rsidRPr="00981F75" w:rsidRDefault="00575F21">
                          <w:pPr>
                            <w:rPr>
                              <w:rFonts w:ascii="Arial" w:hAnsi="Arial" w:cs="Arial"/>
                              <w:color w:val="E9540D"/>
                              <w:sz w:val="10"/>
                              <w:szCs w:val="10"/>
                            </w:rPr>
                          </w:pPr>
                          <w:r w:rsidRPr="00981F75">
                            <w:rPr>
                              <w:rFonts w:ascii="Arial" w:hAnsi="Arial" w:cs="Arial"/>
                              <w:color w:val="E9540D"/>
                              <w:sz w:val="10"/>
                              <w:szCs w:val="10"/>
                            </w:rPr>
                            <w:t>www.studenac</w:t>
                          </w:r>
                          <w:r w:rsidR="00F213A1" w:rsidRPr="00981F75">
                            <w:rPr>
                              <w:rFonts w:ascii="Arial" w:hAnsi="Arial" w:cs="Arial"/>
                              <w:color w:val="E9540D"/>
                              <w:sz w:val="10"/>
                              <w:szCs w:val="10"/>
                            </w:rPr>
                            <w:t>group</w:t>
                          </w:r>
                          <w:r w:rsidRPr="00981F75">
                            <w:rPr>
                              <w:rFonts w:ascii="Arial" w:hAnsi="Arial" w:cs="Arial"/>
                              <w:color w:val="E9540D"/>
                              <w:sz w:val="10"/>
                              <w:szCs w:val="10"/>
                            </w:rPr>
                            <w:t>.</w:t>
                          </w:r>
                          <w:r w:rsidR="00F213A1" w:rsidRPr="00981F75">
                            <w:rPr>
                              <w:rFonts w:ascii="Arial" w:hAnsi="Arial" w:cs="Arial"/>
                              <w:color w:val="E9540D"/>
                              <w:sz w:val="10"/>
                              <w:szCs w:val="10"/>
                            </w:rPr>
                            <w:t>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73533" id="_x0000_t202" coordsize="21600,21600" o:spt="202" path="m,l,21600r21600,l21600,xe">
              <v:stroke joinstyle="miter"/>
              <v:path gradientshapeok="t" o:connecttype="rect"/>
            </v:shapetype>
            <v:shape id="Text Box 1" o:spid="_x0000_s1026" type="#_x0000_t202" style="position:absolute;left:0;text-align:left;margin-left:257.15pt;margin-top:-39.1pt;width:135.3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jxDAIAAAEEAAAOAAAAZHJzL2Uyb0RvYy54bWysU8tu2zAQvBfoPxC817IEu04Ey0HqIEWB&#10;9AGk/QCaoiyiFJdd0pbSr++SdBy3vRXVgSB3xdmd2eH6ZhoMOyr0GmzDy9mcM2UltNruG/7t6/2b&#10;K858ELYVBqxq+JPy/Gbz+tV6dLWqoAfTKmQEYn09uob3Ibi6KLzs1SD8DJyylOwABxHoiPuiRTES&#10;+mCKaj5/W4yArUOQynuK3uUk3yT8rlMyfO46rwIzDafeQloxrbu4Fpu1qPcoXK/lqQ3xD10MQlsq&#10;eoa6E0GwA+q/oAYtETx0YSZhKKDrtFSJA7Ep53+weeyFU4kLiePdWSb//2Dlp+Oj+4IsTO9gogEm&#10;Et49gPzumYVtL+xe3SLC2CvRUuEySlaMztenq1FqX/sIshs/QktDFocACWjqcIiqEE9G6DSAp7Po&#10;agpMxpKr8up6seRMUm5RVdVqmUqI+vm2Qx/eKxhY3DQcaagJXRwffIjdiPr5l1jMg9HtvTYmHaKR&#10;1NYgOwqygAmZoTkM1GqOlfP4ZSdQnPyS4ylE2MmLESJV+g3d2FjDQqyWG4mRpE4UJEsTpt1EyajS&#10;Dton0gkh+5DeDW16wJ+cjeTBhvsfB4GKM/PBktbX5WIRTZsOi+WqogNeZnaXGWElQTU8cJa325CN&#10;fnCo9z1Vytwt3NJ8Op2ke+nq1Df5LPE8vYlo5Mtz+uvl5W5+AQAA//8DAFBLAwQUAAYACAAAACEA&#10;aaKCuOMAAAALAQAADwAAAGRycy9kb3ducmV2LnhtbEyPTU+DQBCG7yb+h82YeDHtAlr5kKVpTPTg&#10;wUhrGo9bGIHIzhJ2abG/3vGkx5l58s7z5uvZ9OKIo+ssKQiXAQikytYdNQred0+LBITzmmrdW0IF&#10;3+hgXVxe5Dqr7YlKPG59IziEXKYVtN4PmZSuatFot7QDEt8+7Wi053FsZD3qE4ebXkZBcC+N7og/&#10;tHrAxxarr+1kFNx8pJtUd7h7ifbpvjy/TeX5+VWp66t58wDC4+z/YPjVZ3Uo2OlgJ6qd6BWswrtb&#10;RhUs4iQCwUScrLjdgTdhGIMscvm/Q/EDAAD//wMAUEsBAi0AFAAGAAgAAAAhALaDOJL+AAAA4QEA&#10;ABMAAAAAAAAAAAAAAAAAAAAAAFtDb250ZW50X1R5cGVzXS54bWxQSwECLQAUAAYACAAAACEAOP0h&#10;/9YAAACUAQAACwAAAAAAAAAAAAAAAAAvAQAAX3JlbHMvLnJlbHNQSwECLQAUAAYACAAAACEARZGI&#10;8QwCAAABBAAADgAAAAAAAAAAAAAAAAAuAgAAZHJzL2Uyb0RvYy54bWxQSwECLQAUAAYACAAAACEA&#10;aaKCuOMAAAALAQAADwAAAAAAAAAAAAAAAABmBAAAZHJzL2Rvd25yZXYueG1sUEsFBgAAAAAEAAQA&#10;8wAAAHYFAAAAAA==&#10;" fillcolor="white [3201]" stroked="f">
              <v:textbox>
                <w:txbxContent>
                  <w:p w14:paraId="6D5315D7" w14:textId="77777777" w:rsidR="00DE4115" w:rsidRPr="00981F75" w:rsidRDefault="001F041C">
                    <w:pPr>
                      <w:rPr>
                        <w:rFonts w:ascii="Arial" w:hAnsi="Arial" w:cs="Arial"/>
                        <w:b/>
                        <w:sz w:val="10"/>
                        <w:szCs w:val="10"/>
                      </w:rPr>
                    </w:pPr>
                    <w:r w:rsidRPr="00981F75">
                      <w:rPr>
                        <w:rFonts w:ascii="Arial" w:hAnsi="Arial" w:cs="Arial"/>
                        <w:b/>
                        <w:sz w:val="10"/>
                        <w:szCs w:val="10"/>
                      </w:rPr>
                      <w:t xml:space="preserve">Studenac </w:t>
                    </w:r>
                    <w:r w:rsidR="00F213A1" w:rsidRPr="00981F75">
                      <w:rPr>
                        <w:rFonts w:ascii="Arial" w:hAnsi="Arial" w:cs="Arial"/>
                        <w:b/>
                        <w:sz w:val="10"/>
                        <w:szCs w:val="10"/>
                      </w:rPr>
                      <w:t>Group S.A.</w:t>
                    </w:r>
                  </w:p>
                  <w:p w14:paraId="2779C7B4" w14:textId="77777777" w:rsidR="00DE4115" w:rsidRPr="00981F75" w:rsidRDefault="00F213A1">
                    <w:pPr>
                      <w:rPr>
                        <w:rFonts w:ascii="Arial" w:hAnsi="Arial" w:cs="Arial"/>
                        <w:sz w:val="10"/>
                        <w:szCs w:val="10"/>
                      </w:rPr>
                    </w:pPr>
                    <w:r w:rsidRPr="00981F75">
                      <w:rPr>
                        <w:rFonts w:ascii="Arial" w:hAnsi="Arial" w:cs="Arial"/>
                        <w:sz w:val="10"/>
                        <w:szCs w:val="10"/>
                      </w:rPr>
                      <w:t>1, Rue Jean Piret, L-2350 Luxembourg</w:t>
                    </w:r>
                  </w:p>
                  <w:p w14:paraId="05EEFBC4" w14:textId="77777777" w:rsidR="00DE4115" w:rsidRPr="00981F75" w:rsidRDefault="00575F21">
                    <w:pPr>
                      <w:rPr>
                        <w:rFonts w:ascii="Arial" w:hAnsi="Arial" w:cs="Arial"/>
                        <w:color w:val="E9540D"/>
                        <w:sz w:val="10"/>
                        <w:szCs w:val="10"/>
                      </w:rPr>
                    </w:pPr>
                    <w:r w:rsidRPr="00981F75">
                      <w:rPr>
                        <w:rFonts w:ascii="Arial" w:hAnsi="Arial" w:cs="Arial"/>
                        <w:color w:val="E9540D"/>
                        <w:sz w:val="10"/>
                        <w:szCs w:val="10"/>
                      </w:rPr>
                      <w:t>www.studenac</w:t>
                    </w:r>
                    <w:r w:rsidR="00F213A1" w:rsidRPr="00981F75">
                      <w:rPr>
                        <w:rFonts w:ascii="Arial" w:hAnsi="Arial" w:cs="Arial"/>
                        <w:color w:val="E9540D"/>
                        <w:sz w:val="10"/>
                        <w:szCs w:val="10"/>
                      </w:rPr>
                      <w:t>group</w:t>
                    </w:r>
                    <w:r w:rsidRPr="00981F75">
                      <w:rPr>
                        <w:rFonts w:ascii="Arial" w:hAnsi="Arial" w:cs="Arial"/>
                        <w:color w:val="E9540D"/>
                        <w:sz w:val="10"/>
                        <w:szCs w:val="10"/>
                      </w:rPr>
                      <w:t>.</w:t>
                    </w:r>
                    <w:r w:rsidR="00F213A1" w:rsidRPr="00981F75">
                      <w:rPr>
                        <w:rFonts w:ascii="Arial" w:hAnsi="Arial" w:cs="Arial"/>
                        <w:color w:val="E9540D"/>
                        <w:sz w:val="10"/>
                        <w:szCs w:val="10"/>
                      </w:rPr>
                      <w:t>eu</w:t>
                    </w:r>
                  </w:p>
                </w:txbxContent>
              </v:textbox>
            </v:shape>
          </w:pict>
        </mc:Fallback>
      </mc:AlternateContent>
    </w:r>
    <w:r w:rsidR="00575F21" w:rsidRPr="00981F75">
      <w:rPr>
        <w:noProof/>
        <w:lang w:eastAsia="hr-HR"/>
      </w:rPr>
      <mc:AlternateContent>
        <mc:Choice Requires="wps">
          <w:drawing>
            <wp:anchor distT="0" distB="0" distL="114300" distR="114300" simplePos="0" relativeHeight="251658241" behindDoc="0" locked="0" layoutInCell="1" allowOverlap="1" wp14:anchorId="203983BA" wp14:editId="597F33C9">
              <wp:simplePos x="0" y="0"/>
              <wp:positionH relativeFrom="column">
                <wp:posOffset>3348355</wp:posOffset>
              </wp:positionH>
              <wp:positionV relativeFrom="paragraph">
                <wp:posOffset>-67310</wp:posOffset>
              </wp:positionV>
              <wp:extent cx="1331595" cy="2527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252730"/>
                      </a:xfrm>
                      <a:prstGeom prst="rect">
                        <a:avLst/>
                      </a:prstGeom>
                      <a:solidFill>
                        <a:srgbClr val="44AC34"/>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263.65pt;margin-top:-5.3pt;width:104.85pt;height:1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ac34"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zU6wEAALcDAAAOAAAAZHJzL2Uyb0RvYy54bWysU8GO0zAQvSPxD5bvNE2bsmzUdFV1tQhp&#10;YZEWPsBxnMTC8Zix27R8PWOn263ghrhYGc/M87w3L+u742DYQaHXYCuez+acKSuh0bar+PdvD+8+&#10;cOaDsI0wYFXFT8rzu83bN+vRlWoBPZhGISMQ68vRVbwPwZVZ5mWvBuFn4JSlZAs4iEAhdlmDYiT0&#10;wWSL+fx9NgI2DkEq7+n2fkryTcJvWyXDU9t6FZipOM0W0onprOOZbdai7FC4XsvzGOIfphiEtvTo&#10;BepeBMH2qP+CGrRE8NCGmYQhg7bVUiUOxCaf/8HmuRdOJS4kjncXmfz/g5VfDs/uK8bRvXsE+cMz&#10;C7te2E5tEWHslWjouTwKlY3Ol5eGGHhqZfX4GRpardgHSBocWxwiILFjxyT16SK1OgYm6TJfLvPV&#10;7YozSbnFanGzTLvIRPnS7dCHjwoGFj8qjrTKhC4Ojz7EaUT5UpKmB6ObB21MCrCrdwbZQdDai2K7&#10;WxaJAJG8LjM2FluIbRNivEk0I7NoIl/W0JyIJcLkHfI6ffSAvzgbyTcV9z/3AhVn5pMlpW7zoohG&#10;S0GxullQgNeZ+jojrCSoisuAnE3BLkz23DvUXU9v5Ym2hS3p2+pE/XWu87jkjqTI2cnRftdxqnr9&#10;3za/AQAA//8DAFBLAwQUAAYACAAAACEA1siV+OAAAAAKAQAADwAAAGRycy9kb3ducmV2LnhtbEyP&#10;y07DMBBF90j8gzVI7FrnoSYQMqkKEggqNrT9ADc2SUQ8DrGbBr6eYQXL0Rzde265nm0vJjP6zhFC&#10;vIxAGKqd7qhBOOwfFzcgfFCkVe/IIHwZD+vq8qJUhXZnejPTLjSCQ8gXCqENYSik9HVrrPJLNxji&#10;37sbrQp8jo3UozpzuO1lEkWZtKojbmjVYB5aU3/sThah1ptm8C/T9336pJN4pbevz58Z4vXVvLkD&#10;Ecwc/mD41Wd1qNjp6E6kvegRVkmeMoqwiKMMBBN5mvO6I0Jym4CsSvl/QvUDAAD//wMAUEsBAi0A&#10;FAAGAAgAAAAhALaDOJL+AAAA4QEAABMAAAAAAAAAAAAAAAAAAAAAAFtDb250ZW50X1R5cGVzXS54&#10;bWxQSwECLQAUAAYACAAAACEAOP0h/9YAAACUAQAACwAAAAAAAAAAAAAAAAAvAQAAX3JlbHMvLnJl&#10;bHNQSwECLQAUAAYACAAAACEAeD6c1OsBAAC3AwAADgAAAAAAAAAAAAAAAAAuAgAAZHJzL2Uyb0Rv&#10;Yy54bWxQSwECLQAUAAYACAAAACEA1siV+OAAAAAKAQAADwAAAAAAAAAAAAAAAABFBAAAZHJzL2Rv&#10;d25yZXYueG1sUEsFBgAAAAAEAAQA8wAAAFIFAAAAAA==&#10;" w14:anchorId="1F8135C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AAC5" w14:textId="77777777" w:rsidR="001C54A6" w:rsidRPr="00981F75" w:rsidRDefault="001C54A6">
      <w:r w:rsidRPr="00981F75">
        <w:separator/>
      </w:r>
    </w:p>
  </w:footnote>
  <w:footnote w:type="continuationSeparator" w:id="0">
    <w:p w14:paraId="2D5E2B62" w14:textId="77777777" w:rsidR="001C54A6" w:rsidRPr="00981F75" w:rsidRDefault="001C54A6">
      <w:r w:rsidRPr="00981F75">
        <w:continuationSeparator/>
      </w:r>
    </w:p>
  </w:footnote>
  <w:footnote w:type="continuationNotice" w:id="1">
    <w:p w14:paraId="403DD599" w14:textId="77777777" w:rsidR="001C54A6" w:rsidRPr="00981F75" w:rsidRDefault="001C54A6"/>
  </w:footnote>
  <w:footnote w:id="2">
    <w:p w14:paraId="2FA24E66" w14:textId="7C02DF49" w:rsidR="0014103E" w:rsidRPr="00F56B12" w:rsidRDefault="0014103E" w:rsidP="00F56B12">
      <w:pPr>
        <w:pStyle w:val="FootnoteText"/>
        <w:jc w:val="both"/>
        <w:rPr>
          <w:rFonts w:ascii="Arial" w:hAnsi="Arial" w:cs="Arial"/>
          <w:sz w:val="16"/>
          <w:szCs w:val="16"/>
        </w:rPr>
      </w:pPr>
      <w:r w:rsidRPr="00981F75">
        <w:rPr>
          <w:rStyle w:val="FootnoteReference"/>
          <w:sz w:val="16"/>
          <w:szCs w:val="16"/>
        </w:rPr>
        <w:footnoteRef/>
      </w:r>
      <w:r w:rsidRPr="00981F75">
        <w:rPr>
          <w:sz w:val="16"/>
          <w:szCs w:val="16"/>
        </w:rPr>
        <w:t xml:space="preserve"> </w:t>
      </w:r>
      <w:r w:rsidR="006A16B6" w:rsidRPr="00CE76F1">
        <w:rPr>
          <w:rFonts w:ascii="Arial" w:hAnsi="Arial" w:cs="Arial"/>
          <w:sz w:val="16"/>
          <w:szCs w:val="16"/>
        </w:rPr>
        <w:t xml:space="preserve">Uključujući rezultate poslovanja </w:t>
      </w:r>
      <w:r w:rsidR="00F56B12">
        <w:rPr>
          <w:rFonts w:ascii="Arial" w:hAnsi="Arial" w:cs="Arial"/>
          <w:sz w:val="16"/>
          <w:szCs w:val="16"/>
        </w:rPr>
        <w:t xml:space="preserve">preuzetih </w:t>
      </w:r>
      <w:r w:rsidR="006A16B6" w:rsidRPr="00F56B12">
        <w:rPr>
          <w:rFonts w:ascii="Arial" w:hAnsi="Arial" w:cs="Arial"/>
          <w:sz w:val="16"/>
          <w:szCs w:val="16"/>
        </w:rPr>
        <w:t xml:space="preserve">trgovina tijekom relevantnog </w:t>
      </w:r>
      <w:r w:rsidR="00F56B12">
        <w:rPr>
          <w:rFonts w:ascii="Arial" w:hAnsi="Arial" w:cs="Arial"/>
          <w:sz w:val="16"/>
          <w:szCs w:val="16"/>
        </w:rPr>
        <w:t>perioda</w:t>
      </w:r>
      <w:r w:rsidR="006A16B6" w:rsidRPr="00F56B12">
        <w:rPr>
          <w:rFonts w:ascii="Arial" w:hAnsi="Arial" w:cs="Arial"/>
          <w:sz w:val="16"/>
          <w:szCs w:val="16"/>
        </w:rPr>
        <w:t xml:space="preserve"> (</w:t>
      </w:r>
      <w:r w:rsidR="00F56B12">
        <w:rPr>
          <w:rFonts w:ascii="Arial" w:hAnsi="Arial" w:cs="Arial"/>
          <w:sz w:val="16"/>
          <w:szCs w:val="16"/>
        </w:rPr>
        <w:t xml:space="preserve">te u slučaju </w:t>
      </w:r>
      <w:r w:rsidR="006A16B6" w:rsidRPr="00F56B12">
        <w:rPr>
          <w:rFonts w:ascii="Arial" w:hAnsi="Arial" w:cs="Arial"/>
          <w:sz w:val="16"/>
          <w:szCs w:val="16"/>
        </w:rPr>
        <w:t xml:space="preserve">pro forma informacija za prvih osam mjeseci 2024.) kao da su te trgovine preuzete </w:t>
      </w:r>
      <w:r w:rsidR="00F56B12">
        <w:rPr>
          <w:rFonts w:ascii="Arial" w:hAnsi="Arial" w:cs="Arial"/>
          <w:sz w:val="16"/>
          <w:szCs w:val="16"/>
        </w:rPr>
        <w:t xml:space="preserve">s </w:t>
      </w:r>
      <w:r w:rsidR="006A16B6" w:rsidRPr="00F56B12">
        <w:rPr>
          <w:rFonts w:ascii="Arial" w:hAnsi="Arial" w:cs="Arial"/>
          <w:sz w:val="16"/>
          <w:szCs w:val="16"/>
        </w:rPr>
        <w:t>1. siječnja te godine. Napomena</w:t>
      </w:r>
      <w:r w:rsidR="00306E1C" w:rsidRPr="00F56B12">
        <w:rPr>
          <w:rFonts w:ascii="Arial" w:hAnsi="Arial" w:cs="Arial"/>
          <w:sz w:val="16"/>
          <w:szCs w:val="16"/>
        </w:rPr>
        <w:t>: isto se objašnjenje odnosi na svako spominjanje pro forma rezultata u ovom priopćenju za medije.</w:t>
      </w:r>
      <w:r w:rsidR="00306E1C">
        <w:rPr>
          <w:sz w:val="16"/>
          <w:szCs w:val="16"/>
        </w:rPr>
        <w:t xml:space="preserve"> </w:t>
      </w:r>
    </w:p>
  </w:footnote>
  <w:footnote w:id="3">
    <w:p w14:paraId="1CEA5FA7" w14:textId="3A02C171" w:rsidR="00944E81" w:rsidRPr="00981F75" w:rsidRDefault="002B0218" w:rsidP="00944E81">
      <w:pPr>
        <w:pStyle w:val="BodyText"/>
        <w:rPr>
          <w:rFonts w:asciiTheme="minorBidi" w:hAnsiTheme="minorBidi"/>
          <w:lang w:val="hr-HR"/>
        </w:rPr>
      </w:pPr>
      <w:r w:rsidRPr="00981F75">
        <w:rPr>
          <w:rStyle w:val="FootnoteReference"/>
          <w:rFonts w:asciiTheme="minorBidi" w:hAnsiTheme="minorBidi"/>
          <w:sz w:val="16"/>
          <w:szCs w:val="16"/>
          <w:lang w:val="hr-HR"/>
        </w:rPr>
        <w:footnoteRef/>
      </w:r>
      <w:r w:rsidRPr="00981F75">
        <w:rPr>
          <w:rFonts w:asciiTheme="minorBidi" w:hAnsiTheme="minorBidi"/>
          <w:sz w:val="16"/>
          <w:szCs w:val="16"/>
          <w:lang w:val="hr-HR"/>
        </w:rPr>
        <w:t xml:space="preserve"> </w:t>
      </w:r>
      <w:r w:rsidR="00944E81" w:rsidRPr="00944E81">
        <w:rPr>
          <w:rFonts w:asciiTheme="minorBidi" w:hAnsiTheme="minorBidi"/>
          <w:sz w:val="16"/>
          <w:szCs w:val="16"/>
          <w:lang w:val="hr-HR"/>
        </w:rPr>
        <w:t xml:space="preserve">Post-MSFI 16 Prilagođena EBITDA za određeno razdoblje se definira kao post-MSFI 16 EBITDA prilagođena za događaje koji nisu povezani s glavnom aktivnošću Studenca, kao što su (i) troškovi povezani s procesima dubinske analize poslovanja (uključujući troškove vezane uz komercijalno, financijsko, porezno i pravno dubinsko snimanje te diskrecijske bonuse isplaćene zaposlenicima koji su sudjelovali u procesu dubinskog snimanja); i (ii) troškovi u procesima spajanja i akvizicija te troškovi integracije nakon spajanja (uključujući bonuse za vanjske zaposlenike, troškove povezane s procesom integracije preuzetih tvrtki te troškove pravnih, financijskih i drugih savjetnika koji su nastajali tijekom završenih akvizicija). </w:t>
      </w:r>
      <w:r w:rsidR="00944E81">
        <w:rPr>
          <w:rFonts w:asciiTheme="minorBidi" w:hAnsiTheme="minorBidi"/>
          <w:sz w:val="16"/>
          <w:szCs w:val="16"/>
          <w:lang w:val="hr-HR"/>
        </w:rPr>
        <w:t xml:space="preserve">Gdje god se u ovom priopćenju za medije spominje prilagođena EBITDA, to znači prilagođena post-MFSI 16 EBITDA.  </w:t>
      </w:r>
    </w:p>
  </w:footnote>
  <w:footnote w:id="4">
    <w:p w14:paraId="28D15A5A" w14:textId="7F3982FF" w:rsidR="004262EC" w:rsidRPr="00981F75" w:rsidRDefault="004262EC" w:rsidP="005A67EB">
      <w:pPr>
        <w:pStyle w:val="FootnoteText"/>
        <w:spacing w:after="60"/>
        <w:jc w:val="both"/>
        <w:rPr>
          <w:rFonts w:ascii="Arial" w:hAnsi="Arial" w:cs="Arial"/>
          <w:sz w:val="16"/>
          <w:szCs w:val="16"/>
        </w:rPr>
      </w:pPr>
      <w:r w:rsidRPr="00981F75">
        <w:rPr>
          <w:rStyle w:val="FootnoteReference"/>
          <w:rFonts w:ascii="Arial" w:hAnsi="Arial" w:cs="Arial"/>
          <w:sz w:val="16"/>
          <w:szCs w:val="16"/>
        </w:rPr>
        <w:footnoteRef/>
      </w:r>
      <w:r w:rsidRPr="00981F75">
        <w:rPr>
          <w:rFonts w:ascii="Arial" w:hAnsi="Arial" w:cs="Arial"/>
          <w:sz w:val="16"/>
          <w:szCs w:val="16"/>
        </w:rPr>
        <w:t xml:space="preserve"> </w:t>
      </w:r>
      <w:r w:rsidR="00F038CA" w:rsidRPr="00A3170D">
        <w:rPr>
          <w:rFonts w:ascii="Arial" w:hAnsi="Arial" w:cs="Arial"/>
          <w:sz w:val="16"/>
          <w:szCs w:val="16"/>
        </w:rPr>
        <w:t xml:space="preserve">Uključujući rezultate poslovanja </w:t>
      </w:r>
      <w:r w:rsidR="00F038CA">
        <w:rPr>
          <w:rFonts w:ascii="Arial" w:hAnsi="Arial" w:cs="Arial"/>
          <w:sz w:val="16"/>
          <w:szCs w:val="16"/>
        </w:rPr>
        <w:t xml:space="preserve">preuzetih </w:t>
      </w:r>
      <w:r w:rsidR="00F038CA" w:rsidRPr="00F56B12">
        <w:rPr>
          <w:rFonts w:ascii="Arial" w:hAnsi="Arial" w:cs="Arial"/>
          <w:sz w:val="16"/>
          <w:szCs w:val="16"/>
        </w:rPr>
        <w:t xml:space="preserve">trgovina tijekom relevantnog </w:t>
      </w:r>
      <w:r w:rsidR="00F038CA">
        <w:rPr>
          <w:rFonts w:ascii="Arial" w:hAnsi="Arial" w:cs="Arial"/>
          <w:sz w:val="16"/>
          <w:szCs w:val="16"/>
        </w:rPr>
        <w:t>perioda</w:t>
      </w:r>
      <w:r w:rsidR="00F038CA" w:rsidRPr="00F56B12">
        <w:rPr>
          <w:rFonts w:ascii="Arial" w:hAnsi="Arial" w:cs="Arial"/>
          <w:sz w:val="16"/>
          <w:szCs w:val="16"/>
        </w:rPr>
        <w:t xml:space="preserve"> (</w:t>
      </w:r>
      <w:r w:rsidR="00F038CA">
        <w:rPr>
          <w:rFonts w:ascii="Arial" w:hAnsi="Arial" w:cs="Arial"/>
          <w:sz w:val="16"/>
          <w:szCs w:val="16"/>
        </w:rPr>
        <w:t xml:space="preserve">te u slučaju </w:t>
      </w:r>
      <w:r w:rsidR="00F038CA" w:rsidRPr="00F56B12">
        <w:rPr>
          <w:rFonts w:ascii="Arial" w:hAnsi="Arial" w:cs="Arial"/>
          <w:sz w:val="16"/>
          <w:szCs w:val="16"/>
        </w:rPr>
        <w:t xml:space="preserve">pro forma informacija za prvih osam mjeseci 2024.) kao da su te trgovine preuzete </w:t>
      </w:r>
      <w:r w:rsidR="00F038CA">
        <w:rPr>
          <w:rFonts w:ascii="Arial" w:hAnsi="Arial" w:cs="Arial"/>
          <w:sz w:val="16"/>
          <w:szCs w:val="16"/>
        </w:rPr>
        <w:t xml:space="preserve">s </w:t>
      </w:r>
      <w:r w:rsidR="00F038CA" w:rsidRPr="00F56B12">
        <w:rPr>
          <w:rFonts w:ascii="Arial" w:hAnsi="Arial" w:cs="Arial"/>
          <w:sz w:val="16"/>
          <w:szCs w:val="16"/>
        </w:rPr>
        <w:t>1. siječnja te godine</w:t>
      </w:r>
      <w:r w:rsidR="00043B45">
        <w:rPr>
          <w:rFonts w:ascii="Arial" w:hAnsi="Arial" w:cs="Arial"/>
          <w:sz w:val="16"/>
          <w:szCs w:val="16"/>
        </w:rPr>
        <w:t>.</w:t>
      </w:r>
      <w:r w:rsidR="00DD3BE9" w:rsidRPr="00DD3BE9">
        <w:rPr>
          <w:rFonts w:ascii="Arial" w:hAnsi="Arial" w:cs="Arial"/>
          <w:sz w:val="16"/>
          <w:szCs w:val="16"/>
        </w:rPr>
        <w:t xml:space="preserve"> Napomena: isto se objašnjenje odnosi na svako spominjanje pro forma rezultata u ovom priopćenju za medije. </w:t>
      </w:r>
    </w:p>
  </w:footnote>
  <w:footnote w:id="5">
    <w:p w14:paraId="69B3D0E5" w14:textId="7D1DE649" w:rsidR="001629B8" w:rsidRPr="00981F75" w:rsidRDefault="001629B8" w:rsidP="00B85448">
      <w:pPr>
        <w:pStyle w:val="FootnoteText"/>
        <w:spacing w:after="60"/>
        <w:jc w:val="both"/>
        <w:rPr>
          <w:rFonts w:ascii="Arial" w:hAnsi="Arial" w:cs="Arial"/>
          <w:sz w:val="16"/>
          <w:szCs w:val="16"/>
        </w:rPr>
      </w:pPr>
      <w:r w:rsidRPr="00981F75">
        <w:rPr>
          <w:rStyle w:val="FootnoteReference"/>
          <w:rFonts w:ascii="Arial" w:hAnsi="Arial" w:cs="Arial"/>
          <w:sz w:val="16"/>
          <w:szCs w:val="16"/>
        </w:rPr>
        <w:footnoteRef/>
      </w:r>
      <w:r w:rsidRPr="00981F75">
        <w:rPr>
          <w:rFonts w:ascii="Arial" w:hAnsi="Arial" w:cs="Arial"/>
          <w:sz w:val="16"/>
          <w:szCs w:val="16"/>
        </w:rPr>
        <w:t xml:space="preserve"> </w:t>
      </w:r>
      <w:r w:rsidR="009237D7" w:rsidRPr="00A3170D">
        <w:rPr>
          <w:rFonts w:ascii="Arial" w:hAnsi="Arial" w:cs="Arial"/>
          <w:sz w:val="16"/>
          <w:szCs w:val="16"/>
        </w:rPr>
        <w:t xml:space="preserve">Uključujući rezultate poslovanja </w:t>
      </w:r>
      <w:r w:rsidR="009237D7">
        <w:rPr>
          <w:rFonts w:ascii="Arial" w:hAnsi="Arial" w:cs="Arial"/>
          <w:sz w:val="16"/>
          <w:szCs w:val="16"/>
        </w:rPr>
        <w:t xml:space="preserve">preuzetih </w:t>
      </w:r>
      <w:r w:rsidR="009237D7" w:rsidRPr="00F56B12">
        <w:rPr>
          <w:rFonts w:ascii="Arial" w:hAnsi="Arial" w:cs="Arial"/>
          <w:sz w:val="16"/>
          <w:szCs w:val="16"/>
        </w:rPr>
        <w:t xml:space="preserve">trgovina tijekom relevantnog </w:t>
      </w:r>
      <w:r w:rsidR="009237D7">
        <w:rPr>
          <w:rFonts w:ascii="Arial" w:hAnsi="Arial" w:cs="Arial"/>
          <w:sz w:val="16"/>
          <w:szCs w:val="16"/>
        </w:rPr>
        <w:t>perioda</w:t>
      </w:r>
      <w:r w:rsidR="009237D7" w:rsidRPr="00F56B12">
        <w:rPr>
          <w:rFonts w:ascii="Arial" w:hAnsi="Arial" w:cs="Arial"/>
          <w:sz w:val="16"/>
          <w:szCs w:val="16"/>
        </w:rPr>
        <w:t xml:space="preserve"> (</w:t>
      </w:r>
      <w:r w:rsidR="009237D7">
        <w:rPr>
          <w:rFonts w:ascii="Arial" w:hAnsi="Arial" w:cs="Arial"/>
          <w:sz w:val="16"/>
          <w:szCs w:val="16"/>
        </w:rPr>
        <w:t xml:space="preserve">te u slučaju </w:t>
      </w:r>
      <w:r w:rsidR="009237D7" w:rsidRPr="00F56B12">
        <w:rPr>
          <w:rFonts w:ascii="Arial" w:hAnsi="Arial" w:cs="Arial"/>
          <w:sz w:val="16"/>
          <w:szCs w:val="16"/>
        </w:rPr>
        <w:t xml:space="preserve">pro forma informacija za prvih osam mjeseci 2024.) kao da su te trgovine preuzete </w:t>
      </w:r>
      <w:r w:rsidR="009237D7">
        <w:rPr>
          <w:rFonts w:ascii="Arial" w:hAnsi="Arial" w:cs="Arial"/>
          <w:sz w:val="16"/>
          <w:szCs w:val="16"/>
        </w:rPr>
        <w:t xml:space="preserve">s </w:t>
      </w:r>
      <w:r w:rsidR="009237D7" w:rsidRPr="00F56B12">
        <w:rPr>
          <w:rFonts w:ascii="Arial" w:hAnsi="Arial" w:cs="Arial"/>
          <w:sz w:val="16"/>
          <w:szCs w:val="16"/>
        </w:rPr>
        <w:t>1. siječnja te godine</w:t>
      </w:r>
      <w:r w:rsidR="003F46E4" w:rsidRPr="003F46E4">
        <w:rPr>
          <w:rFonts w:ascii="Arial" w:hAnsi="Arial" w:cs="Arial"/>
          <w:sz w:val="16"/>
          <w:szCs w:val="16"/>
        </w:rPr>
        <w:t>.</w:t>
      </w:r>
    </w:p>
  </w:footnote>
  <w:footnote w:id="6">
    <w:p w14:paraId="3261C153" w14:textId="7D1EA77B" w:rsidR="001629B8" w:rsidRPr="00981F75" w:rsidRDefault="001629B8" w:rsidP="001629B8">
      <w:pPr>
        <w:pStyle w:val="FootnoteText"/>
        <w:spacing w:after="120"/>
        <w:jc w:val="both"/>
        <w:rPr>
          <w:rFonts w:ascii="Arial" w:hAnsi="Arial" w:cs="Arial"/>
          <w:sz w:val="16"/>
          <w:szCs w:val="16"/>
        </w:rPr>
      </w:pPr>
      <w:r w:rsidRPr="00981F75">
        <w:rPr>
          <w:rStyle w:val="FootnoteReference"/>
          <w:rFonts w:ascii="Arial" w:hAnsi="Arial" w:cs="Arial"/>
          <w:sz w:val="16"/>
          <w:szCs w:val="16"/>
        </w:rPr>
        <w:footnoteRef/>
      </w:r>
      <w:r w:rsidRPr="00981F75">
        <w:rPr>
          <w:rFonts w:ascii="Arial" w:hAnsi="Arial" w:cs="Arial"/>
          <w:sz w:val="16"/>
          <w:szCs w:val="16"/>
        </w:rPr>
        <w:t xml:space="preserve"> </w:t>
      </w:r>
      <w:r w:rsidR="00B326A5">
        <w:rPr>
          <w:rFonts w:ascii="Arial" w:hAnsi="Arial" w:cs="Arial"/>
          <w:sz w:val="16"/>
          <w:szCs w:val="16"/>
        </w:rPr>
        <w:t xml:space="preserve">Post-MSFI 16 </w:t>
      </w:r>
      <w:r w:rsidR="00B85448" w:rsidRPr="00981F75">
        <w:rPr>
          <w:rFonts w:asciiTheme="minorBidi" w:hAnsiTheme="minorBidi"/>
          <w:sz w:val="16"/>
          <w:szCs w:val="16"/>
        </w:rPr>
        <w:t xml:space="preserve">Prilagođena EBITDA za određeno razdoblje se definira kao </w:t>
      </w:r>
      <w:r w:rsidR="009237D7">
        <w:rPr>
          <w:rFonts w:asciiTheme="minorBidi" w:hAnsiTheme="minorBidi"/>
          <w:sz w:val="16"/>
          <w:szCs w:val="16"/>
        </w:rPr>
        <w:t>p</w:t>
      </w:r>
      <w:r w:rsidR="00B85448" w:rsidRPr="00981F75">
        <w:rPr>
          <w:rFonts w:asciiTheme="minorBidi" w:hAnsiTheme="minorBidi"/>
          <w:sz w:val="16"/>
          <w:szCs w:val="16"/>
        </w:rPr>
        <w:t>ost-</w:t>
      </w:r>
      <w:r w:rsidR="009237D7">
        <w:rPr>
          <w:rFonts w:asciiTheme="minorBidi" w:hAnsiTheme="minorBidi"/>
          <w:sz w:val="16"/>
          <w:szCs w:val="16"/>
        </w:rPr>
        <w:t>MSFI</w:t>
      </w:r>
      <w:r w:rsidR="00B85448" w:rsidRPr="00981F75">
        <w:rPr>
          <w:rFonts w:asciiTheme="minorBidi" w:hAnsiTheme="minorBidi"/>
          <w:sz w:val="16"/>
          <w:szCs w:val="16"/>
        </w:rPr>
        <w:t xml:space="preserve"> 16 EBITDA prilagođena za događaje koji nisu povezani s glavnom aktivnošću Studenca, kao što su (i) troškovi povezani s procesima </w:t>
      </w:r>
      <w:r w:rsidR="00B01639">
        <w:rPr>
          <w:rFonts w:asciiTheme="minorBidi" w:hAnsiTheme="minorBidi"/>
          <w:sz w:val="16"/>
          <w:szCs w:val="16"/>
        </w:rPr>
        <w:t xml:space="preserve">dubinske analize poslovanja </w:t>
      </w:r>
      <w:r w:rsidR="00B85448" w:rsidRPr="00981F75">
        <w:rPr>
          <w:rFonts w:asciiTheme="minorBidi" w:hAnsiTheme="minorBidi"/>
          <w:sz w:val="16"/>
          <w:szCs w:val="16"/>
        </w:rPr>
        <w:t xml:space="preserve">(uključujući troškove vezane uz </w:t>
      </w:r>
      <w:r w:rsidR="002513AB" w:rsidRPr="00981F75">
        <w:rPr>
          <w:rFonts w:asciiTheme="minorBidi" w:hAnsiTheme="minorBidi"/>
          <w:sz w:val="16"/>
          <w:szCs w:val="16"/>
        </w:rPr>
        <w:t>komercijaln</w:t>
      </w:r>
      <w:r w:rsidR="002513AB">
        <w:rPr>
          <w:rFonts w:asciiTheme="minorBidi" w:hAnsiTheme="minorBidi"/>
          <w:sz w:val="16"/>
          <w:szCs w:val="16"/>
        </w:rPr>
        <w:t>o</w:t>
      </w:r>
      <w:r w:rsidR="00B85448" w:rsidRPr="00981F75">
        <w:rPr>
          <w:rFonts w:asciiTheme="minorBidi" w:hAnsiTheme="minorBidi"/>
          <w:sz w:val="16"/>
          <w:szCs w:val="16"/>
        </w:rPr>
        <w:t xml:space="preserve">, </w:t>
      </w:r>
      <w:r w:rsidR="002513AB" w:rsidRPr="00981F75">
        <w:rPr>
          <w:rFonts w:asciiTheme="minorBidi" w:hAnsiTheme="minorBidi"/>
          <w:sz w:val="16"/>
          <w:szCs w:val="16"/>
        </w:rPr>
        <w:t>financijsk</w:t>
      </w:r>
      <w:r w:rsidR="002513AB">
        <w:rPr>
          <w:rFonts w:asciiTheme="minorBidi" w:hAnsiTheme="minorBidi"/>
          <w:sz w:val="16"/>
          <w:szCs w:val="16"/>
        </w:rPr>
        <w:t>o</w:t>
      </w:r>
      <w:r w:rsidR="00B85448" w:rsidRPr="00981F75">
        <w:rPr>
          <w:rFonts w:asciiTheme="minorBidi" w:hAnsiTheme="minorBidi"/>
          <w:sz w:val="16"/>
          <w:szCs w:val="16"/>
        </w:rPr>
        <w:t xml:space="preserve">, </w:t>
      </w:r>
      <w:r w:rsidR="002513AB" w:rsidRPr="00981F75">
        <w:rPr>
          <w:rFonts w:asciiTheme="minorBidi" w:hAnsiTheme="minorBidi"/>
          <w:sz w:val="16"/>
          <w:szCs w:val="16"/>
        </w:rPr>
        <w:t>porezn</w:t>
      </w:r>
      <w:r w:rsidR="002513AB">
        <w:rPr>
          <w:rFonts w:asciiTheme="minorBidi" w:hAnsiTheme="minorBidi"/>
          <w:sz w:val="16"/>
          <w:szCs w:val="16"/>
        </w:rPr>
        <w:t>o</w:t>
      </w:r>
      <w:r w:rsidR="002513AB" w:rsidRPr="00981F75">
        <w:rPr>
          <w:rFonts w:asciiTheme="minorBidi" w:hAnsiTheme="minorBidi"/>
          <w:sz w:val="16"/>
          <w:szCs w:val="16"/>
        </w:rPr>
        <w:t xml:space="preserve"> </w:t>
      </w:r>
      <w:r w:rsidR="00B85448" w:rsidRPr="00981F75">
        <w:rPr>
          <w:rFonts w:asciiTheme="minorBidi" w:hAnsiTheme="minorBidi"/>
          <w:sz w:val="16"/>
          <w:szCs w:val="16"/>
        </w:rPr>
        <w:t xml:space="preserve">i </w:t>
      </w:r>
      <w:r w:rsidR="002513AB" w:rsidRPr="00981F75">
        <w:rPr>
          <w:rFonts w:asciiTheme="minorBidi" w:hAnsiTheme="minorBidi"/>
          <w:sz w:val="16"/>
          <w:szCs w:val="16"/>
        </w:rPr>
        <w:t>pravn</w:t>
      </w:r>
      <w:r w:rsidR="002513AB">
        <w:rPr>
          <w:rFonts w:asciiTheme="minorBidi" w:hAnsiTheme="minorBidi"/>
          <w:sz w:val="16"/>
          <w:szCs w:val="16"/>
        </w:rPr>
        <w:t>o</w:t>
      </w:r>
      <w:r w:rsidR="002513AB" w:rsidRPr="00981F75">
        <w:rPr>
          <w:rFonts w:asciiTheme="minorBidi" w:hAnsiTheme="minorBidi"/>
          <w:sz w:val="16"/>
          <w:szCs w:val="16"/>
        </w:rPr>
        <w:t xml:space="preserve"> </w:t>
      </w:r>
      <w:r w:rsidR="002513AB">
        <w:rPr>
          <w:rFonts w:asciiTheme="minorBidi" w:hAnsiTheme="minorBidi"/>
          <w:sz w:val="16"/>
          <w:szCs w:val="16"/>
        </w:rPr>
        <w:t xml:space="preserve">dubinsko snimanje </w:t>
      </w:r>
      <w:r w:rsidR="00B85448" w:rsidRPr="00981F75">
        <w:rPr>
          <w:rFonts w:asciiTheme="minorBidi" w:hAnsiTheme="minorBidi"/>
          <w:sz w:val="16"/>
          <w:szCs w:val="16"/>
        </w:rPr>
        <w:t xml:space="preserve">te </w:t>
      </w:r>
      <w:r w:rsidR="00B01639">
        <w:rPr>
          <w:rFonts w:asciiTheme="minorBidi" w:hAnsiTheme="minorBidi"/>
          <w:sz w:val="16"/>
          <w:szCs w:val="16"/>
        </w:rPr>
        <w:t xml:space="preserve">diskrecijske </w:t>
      </w:r>
      <w:r w:rsidR="00B85448" w:rsidRPr="00981F75">
        <w:rPr>
          <w:rFonts w:asciiTheme="minorBidi" w:hAnsiTheme="minorBidi"/>
          <w:sz w:val="16"/>
          <w:szCs w:val="16"/>
        </w:rPr>
        <w:t xml:space="preserve">bonuse isplaćene zaposlenicima koji su sudjelovali u procesu </w:t>
      </w:r>
      <w:r w:rsidR="002513AB" w:rsidRPr="00981F75">
        <w:rPr>
          <w:rFonts w:asciiTheme="minorBidi" w:hAnsiTheme="minorBidi"/>
          <w:sz w:val="16"/>
          <w:szCs w:val="16"/>
        </w:rPr>
        <w:t>dubinsk</w:t>
      </w:r>
      <w:r w:rsidR="002513AB">
        <w:rPr>
          <w:rFonts w:asciiTheme="minorBidi" w:hAnsiTheme="minorBidi"/>
          <w:sz w:val="16"/>
          <w:szCs w:val="16"/>
        </w:rPr>
        <w:t>og snimanja</w:t>
      </w:r>
      <w:r w:rsidR="00B85448" w:rsidRPr="00981F75">
        <w:rPr>
          <w:rFonts w:asciiTheme="minorBidi" w:hAnsiTheme="minorBidi"/>
          <w:sz w:val="16"/>
          <w:szCs w:val="16"/>
        </w:rPr>
        <w:t>); i (ii) troškovi u procesima spajanja i akvizicija te troškovi integracije nakon spajanja (uključujući bonuse za vanjske zaposlenike, troškove povezane s procesom integracije preuzetih tvrtki</w:t>
      </w:r>
      <w:r w:rsidR="00981F75">
        <w:rPr>
          <w:rFonts w:asciiTheme="minorBidi" w:hAnsiTheme="minorBidi"/>
          <w:sz w:val="16"/>
          <w:szCs w:val="16"/>
        </w:rPr>
        <w:t xml:space="preserve"> </w:t>
      </w:r>
      <w:r w:rsidR="00B85448" w:rsidRPr="00981F75">
        <w:rPr>
          <w:rFonts w:asciiTheme="minorBidi" w:hAnsiTheme="minorBidi"/>
          <w:sz w:val="16"/>
          <w:szCs w:val="16"/>
        </w:rPr>
        <w:t>te troškove pravnih, financijskih i drugih savjetnika koji su nastajali tijekom završenih akvizicija).</w:t>
      </w:r>
    </w:p>
  </w:footnote>
  <w:footnote w:id="7">
    <w:p w14:paraId="6B4268B6" w14:textId="23FE8A26" w:rsidR="001629B8" w:rsidRPr="0006091A" w:rsidRDefault="001629B8" w:rsidP="00777FA4">
      <w:pPr>
        <w:pStyle w:val="FootnoteText"/>
        <w:spacing w:after="120"/>
        <w:jc w:val="both"/>
        <w:rPr>
          <w:rFonts w:ascii="Arial" w:hAnsi="Arial" w:cs="Arial"/>
          <w:sz w:val="16"/>
          <w:szCs w:val="16"/>
        </w:rPr>
      </w:pPr>
      <w:r w:rsidRPr="00981F75">
        <w:rPr>
          <w:rStyle w:val="FootnoteReference"/>
          <w:rFonts w:ascii="Arial" w:hAnsi="Arial" w:cs="Arial"/>
          <w:sz w:val="16"/>
          <w:szCs w:val="16"/>
        </w:rPr>
        <w:footnoteRef/>
      </w:r>
      <w:r w:rsidRPr="00981F75">
        <w:rPr>
          <w:rFonts w:ascii="Arial" w:hAnsi="Arial" w:cs="Arial"/>
          <w:sz w:val="16"/>
          <w:szCs w:val="16"/>
        </w:rPr>
        <w:t xml:space="preserve"> </w:t>
      </w:r>
      <w:r w:rsidR="00777FA4" w:rsidRPr="00981F75">
        <w:rPr>
          <w:rFonts w:ascii="Arial" w:hAnsi="Arial" w:cs="Arial"/>
          <w:sz w:val="16"/>
          <w:szCs w:val="16"/>
        </w:rPr>
        <w:t xml:space="preserve">Prilagođeni Neto dug nakon primjene </w:t>
      </w:r>
      <w:r w:rsidR="009237D7">
        <w:rPr>
          <w:rFonts w:ascii="Arial" w:hAnsi="Arial" w:cs="Arial"/>
          <w:sz w:val="16"/>
          <w:szCs w:val="16"/>
        </w:rPr>
        <w:t>MSFI</w:t>
      </w:r>
      <w:r w:rsidR="009237D7" w:rsidRPr="00981F75">
        <w:rPr>
          <w:rFonts w:ascii="Arial" w:hAnsi="Arial" w:cs="Arial"/>
          <w:sz w:val="16"/>
          <w:szCs w:val="16"/>
        </w:rPr>
        <w:t xml:space="preserve"> </w:t>
      </w:r>
      <w:r w:rsidR="00777FA4" w:rsidRPr="00981F75">
        <w:rPr>
          <w:rFonts w:ascii="Arial" w:hAnsi="Arial" w:cs="Arial"/>
          <w:sz w:val="16"/>
          <w:szCs w:val="16"/>
        </w:rPr>
        <w:t>16 definira se kao zbroj kratkoročnih kredita i zajmova, dugoročnih kredita i zajmova, dugoročnih obveza po osnovi najma i kratkoročnih obveza po osnovi najma, umanjen za novac i novčane ekvivalente te potraživanja od kartičarskih kompanija.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0E9F" w14:textId="77777777" w:rsidR="00DE4115" w:rsidRPr="00981F75" w:rsidRDefault="00575F21">
    <w:pPr>
      <w:pStyle w:val="Header"/>
      <w:jc w:val="right"/>
    </w:pPr>
    <w:r w:rsidRPr="00981F75">
      <w:rPr>
        <w:noProof/>
        <w:lang w:eastAsia="hr-HR"/>
      </w:rPr>
      <w:drawing>
        <wp:inline distT="0" distB="0" distL="0" distR="0" wp14:anchorId="27D7969A" wp14:editId="14B9560F">
          <wp:extent cx="1333647" cy="1333647"/>
          <wp:effectExtent l="0" t="0" r="0" b="0"/>
          <wp:docPr id="1816084541" name="Graphic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56762" cy="1356762"/>
                  </a:xfrm>
                  <a:prstGeom prst="rect">
                    <a:avLst/>
                  </a:prstGeom>
                </pic:spPr>
              </pic:pic>
            </a:graphicData>
          </a:graphic>
        </wp:inline>
      </w:drawing>
    </w:r>
  </w:p>
  <w:p w14:paraId="6D24CD30" w14:textId="6F87B01F" w:rsidR="0004114B" w:rsidRPr="00981F75" w:rsidRDefault="000411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6539"/>
    <w:multiLevelType w:val="multilevel"/>
    <w:tmpl w:val="0046C0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572201A"/>
    <w:multiLevelType w:val="hybridMultilevel"/>
    <w:tmpl w:val="788C0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0900B7"/>
    <w:multiLevelType w:val="hybridMultilevel"/>
    <w:tmpl w:val="1D942584"/>
    <w:lvl w:ilvl="0" w:tplc="224E869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5DC0331"/>
    <w:multiLevelType w:val="hybridMultilevel"/>
    <w:tmpl w:val="BFCEC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3966D2"/>
    <w:multiLevelType w:val="hybridMultilevel"/>
    <w:tmpl w:val="81844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DC4146B"/>
    <w:multiLevelType w:val="hybridMultilevel"/>
    <w:tmpl w:val="20FA5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EA"/>
    <w:rsid w:val="00001228"/>
    <w:rsid w:val="000033E2"/>
    <w:rsid w:val="00003928"/>
    <w:rsid w:val="00004385"/>
    <w:rsid w:val="000107A7"/>
    <w:rsid w:val="00011E42"/>
    <w:rsid w:val="0001322E"/>
    <w:rsid w:val="00013A5D"/>
    <w:rsid w:val="00014E0F"/>
    <w:rsid w:val="00016A02"/>
    <w:rsid w:val="0001716D"/>
    <w:rsid w:val="00020663"/>
    <w:rsid w:val="00020C17"/>
    <w:rsid w:val="00025989"/>
    <w:rsid w:val="00025A68"/>
    <w:rsid w:val="00026EDB"/>
    <w:rsid w:val="00027819"/>
    <w:rsid w:val="00030964"/>
    <w:rsid w:val="00035856"/>
    <w:rsid w:val="00036667"/>
    <w:rsid w:val="00036672"/>
    <w:rsid w:val="00036A0F"/>
    <w:rsid w:val="00040F5A"/>
    <w:rsid w:val="0004114B"/>
    <w:rsid w:val="00042846"/>
    <w:rsid w:val="00043B45"/>
    <w:rsid w:val="000455F7"/>
    <w:rsid w:val="000463D0"/>
    <w:rsid w:val="00052D00"/>
    <w:rsid w:val="00053219"/>
    <w:rsid w:val="00055A67"/>
    <w:rsid w:val="00056DB2"/>
    <w:rsid w:val="000576FB"/>
    <w:rsid w:val="0006091A"/>
    <w:rsid w:val="00063ED3"/>
    <w:rsid w:val="0006716C"/>
    <w:rsid w:val="00070EF3"/>
    <w:rsid w:val="00071049"/>
    <w:rsid w:val="00073CDC"/>
    <w:rsid w:val="000741AE"/>
    <w:rsid w:val="000746AE"/>
    <w:rsid w:val="000746B7"/>
    <w:rsid w:val="000758A0"/>
    <w:rsid w:val="00076D07"/>
    <w:rsid w:val="00086988"/>
    <w:rsid w:val="00090A51"/>
    <w:rsid w:val="000927D1"/>
    <w:rsid w:val="00093312"/>
    <w:rsid w:val="00094F7C"/>
    <w:rsid w:val="00097F12"/>
    <w:rsid w:val="000A152C"/>
    <w:rsid w:val="000A207E"/>
    <w:rsid w:val="000A21F3"/>
    <w:rsid w:val="000A58A7"/>
    <w:rsid w:val="000A7170"/>
    <w:rsid w:val="000A7499"/>
    <w:rsid w:val="000A74E2"/>
    <w:rsid w:val="000B39A9"/>
    <w:rsid w:val="000B43B4"/>
    <w:rsid w:val="000C0834"/>
    <w:rsid w:val="000C1146"/>
    <w:rsid w:val="000C33B7"/>
    <w:rsid w:val="000C3E44"/>
    <w:rsid w:val="000C706C"/>
    <w:rsid w:val="000D248F"/>
    <w:rsid w:val="000D2E2D"/>
    <w:rsid w:val="000D5FD6"/>
    <w:rsid w:val="000D73AA"/>
    <w:rsid w:val="000D7457"/>
    <w:rsid w:val="000E1C63"/>
    <w:rsid w:val="000E20EF"/>
    <w:rsid w:val="000E5B17"/>
    <w:rsid w:val="000E5BC9"/>
    <w:rsid w:val="000E67C9"/>
    <w:rsid w:val="000F418B"/>
    <w:rsid w:val="000F7926"/>
    <w:rsid w:val="00101D30"/>
    <w:rsid w:val="00102650"/>
    <w:rsid w:val="001102C9"/>
    <w:rsid w:val="001109CA"/>
    <w:rsid w:val="0011123C"/>
    <w:rsid w:val="001116D4"/>
    <w:rsid w:val="00111EC5"/>
    <w:rsid w:val="0011220C"/>
    <w:rsid w:val="00112A78"/>
    <w:rsid w:val="001141D8"/>
    <w:rsid w:val="00120420"/>
    <w:rsid w:val="0012194C"/>
    <w:rsid w:val="00123840"/>
    <w:rsid w:val="0012435F"/>
    <w:rsid w:val="00124EEB"/>
    <w:rsid w:val="0012509E"/>
    <w:rsid w:val="0012536B"/>
    <w:rsid w:val="001312C2"/>
    <w:rsid w:val="0013197C"/>
    <w:rsid w:val="00131EA3"/>
    <w:rsid w:val="00133B84"/>
    <w:rsid w:val="00133E32"/>
    <w:rsid w:val="001346B3"/>
    <w:rsid w:val="00136C59"/>
    <w:rsid w:val="0014027F"/>
    <w:rsid w:val="0014103E"/>
    <w:rsid w:val="00144498"/>
    <w:rsid w:val="00144E20"/>
    <w:rsid w:val="0014559E"/>
    <w:rsid w:val="001470F3"/>
    <w:rsid w:val="0014754B"/>
    <w:rsid w:val="00150F9B"/>
    <w:rsid w:val="00155233"/>
    <w:rsid w:val="00162267"/>
    <w:rsid w:val="00162352"/>
    <w:rsid w:val="001629B8"/>
    <w:rsid w:val="00162C62"/>
    <w:rsid w:val="0016303E"/>
    <w:rsid w:val="0016465B"/>
    <w:rsid w:val="00165E1D"/>
    <w:rsid w:val="00171B16"/>
    <w:rsid w:val="00172486"/>
    <w:rsid w:val="00173E2B"/>
    <w:rsid w:val="001742B8"/>
    <w:rsid w:val="00174698"/>
    <w:rsid w:val="00175448"/>
    <w:rsid w:val="00184B39"/>
    <w:rsid w:val="0018587A"/>
    <w:rsid w:val="00185D37"/>
    <w:rsid w:val="001921A1"/>
    <w:rsid w:val="001927BD"/>
    <w:rsid w:val="001A030C"/>
    <w:rsid w:val="001A10A6"/>
    <w:rsid w:val="001A1F03"/>
    <w:rsid w:val="001A4700"/>
    <w:rsid w:val="001A75B8"/>
    <w:rsid w:val="001B3D11"/>
    <w:rsid w:val="001B47D6"/>
    <w:rsid w:val="001B6166"/>
    <w:rsid w:val="001C06C1"/>
    <w:rsid w:val="001C2B73"/>
    <w:rsid w:val="001C438B"/>
    <w:rsid w:val="001C4948"/>
    <w:rsid w:val="001C4BCF"/>
    <w:rsid w:val="001C54A6"/>
    <w:rsid w:val="001C63A1"/>
    <w:rsid w:val="001C65CA"/>
    <w:rsid w:val="001C72D5"/>
    <w:rsid w:val="001D1DDD"/>
    <w:rsid w:val="001D4F15"/>
    <w:rsid w:val="001E0192"/>
    <w:rsid w:val="001E06A6"/>
    <w:rsid w:val="001E07FA"/>
    <w:rsid w:val="001E2E95"/>
    <w:rsid w:val="001E4084"/>
    <w:rsid w:val="001E6DEF"/>
    <w:rsid w:val="001E7BBF"/>
    <w:rsid w:val="001F041C"/>
    <w:rsid w:val="001F3B82"/>
    <w:rsid w:val="001F4971"/>
    <w:rsid w:val="001F75E4"/>
    <w:rsid w:val="002022A4"/>
    <w:rsid w:val="00202FF2"/>
    <w:rsid w:val="00214C63"/>
    <w:rsid w:val="00216CFC"/>
    <w:rsid w:val="00217E11"/>
    <w:rsid w:val="00221D47"/>
    <w:rsid w:val="002235C7"/>
    <w:rsid w:val="00227FC6"/>
    <w:rsid w:val="00231A62"/>
    <w:rsid w:val="00234F37"/>
    <w:rsid w:val="00235474"/>
    <w:rsid w:val="002406D7"/>
    <w:rsid w:val="00241A0C"/>
    <w:rsid w:val="00241D26"/>
    <w:rsid w:val="00242216"/>
    <w:rsid w:val="00242E59"/>
    <w:rsid w:val="00250852"/>
    <w:rsid w:val="00251130"/>
    <w:rsid w:val="002513AB"/>
    <w:rsid w:val="00255B4F"/>
    <w:rsid w:val="00260687"/>
    <w:rsid w:val="00261271"/>
    <w:rsid w:val="00262694"/>
    <w:rsid w:val="00263577"/>
    <w:rsid w:val="002659D2"/>
    <w:rsid w:val="00272A1C"/>
    <w:rsid w:val="002762D2"/>
    <w:rsid w:val="00277F54"/>
    <w:rsid w:val="002800B5"/>
    <w:rsid w:val="00280D0C"/>
    <w:rsid w:val="00280D5A"/>
    <w:rsid w:val="00281F7F"/>
    <w:rsid w:val="00282A43"/>
    <w:rsid w:val="002839FB"/>
    <w:rsid w:val="002860CF"/>
    <w:rsid w:val="0029138D"/>
    <w:rsid w:val="00293BB5"/>
    <w:rsid w:val="00295A41"/>
    <w:rsid w:val="00296281"/>
    <w:rsid w:val="002A0592"/>
    <w:rsid w:val="002A0FF7"/>
    <w:rsid w:val="002A208F"/>
    <w:rsid w:val="002A2244"/>
    <w:rsid w:val="002A4D80"/>
    <w:rsid w:val="002B000B"/>
    <w:rsid w:val="002B0218"/>
    <w:rsid w:val="002B3C71"/>
    <w:rsid w:val="002B617A"/>
    <w:rsid w:val="002B6E75"/>
    <w:rsid w:val="002C3A1A"/>
    <w:rsid w:val="002D120B"/>
    <w:rsid w:val="002D2DBE"/>
    <w:rsid w:val="002D3592"/>
    <w:rsid w:val="002D5CB8"/>
    <w:rsid w:val="002E3030"/>
    <w:rsid w:val="002F0EBB"/>
    <w:rsid w:val="002F43F5"/>
    <w:rsid w:val="002F5788"/>
    <w:rsid w:val="002F7F27"/>
    <w:rsid w:val="00300372"/>
    <w:rsid w:val="003017F8"/>
    <w:rsid w:val="00301D0E"/>
    <w:rsid w:val="00301EC6"/>
    <w:rsid w:val="00306E1C"/>
    <w:rsid w:val="00312720"/>
    <w:rsid w:val="00312ADE"/>
    <w:rsid w:val="00314B76"/>
    <w:rsid w:val="00314F69"/>
    <w:rsid w:val="003156E8"/>
    <w:rsid w:val="00315E46"/>
    <w:rsid w:val="00315EA0"/>
    <w:rsid w:val="0032013C"/>
    <w:rsid w:val="0032062F"/>
    <w:rsid w:val="00321FC1"/>
    <w:rsid w:val="003238BD"/>
    <w:rsid w:val="00323B61"/>
    <w:rsid w:val="003248DD"/>
    <w:rsid w:val="00327A65"/>
    <w:rsid w:val="00327E91"/>
    <w:rsid w:val="00327F37"/>
    <w:rsid w:val="0033052D"/>
    <w:rsid w:val="00335A10"/>
    <w:rsid w:val="00335B1E"/>
    <w:rsid w:val="00340001"/>
    <w:rsid w:val="0034018E"/>
    <w:rsid w:val="00342AB0"/>
    <w:rsid w:val="003535C1"/>
    <w:rsid w:val="0035506C"/>
    <w:rsid w:val="00360F30"/>
    <w:rsid w:val="003649B0"/>
    <w:rsid w:val="003774BC"/>
    <w:rsid w:val="003821C8"/>
    <w:rsid w:val="00384B30"/>
    <w:rsid w:val="003852B4"/>
    <w:rsid w:val="003859E2"/>
    <w:rsid w:val="00386C93"/>
    <w:rsid w:val="00387C00"/>
    <w:rsid w:val="00391268"/>
    <w:rsid w:val="00391A6C"/>
    <w:rsid w:val="00391F02"/>
    <w:rsid w:val="00392FB7"/>
    <w:rsid w:val="0039403E"/>
    <w:rsid w:val="003943E6"/>
    <w:rsid w:val="0039545E"/>
    <w:rsid w:val="003971F0"/>
    <w:rsid w:val="00397BB8"/>
    <w:rsid w:val="003A1115"/>
    <w:rsid w:val="003A1E86"/>
    <w:rsid w:val="003A3E24"/>
    <w:rsid w:val="003A4724"/>
    <w:rsid w:val="003A702C"/>
    <w:rsid w:val="003B017A"/>
    <w:rsid w:val="003B10B5"/>
    <w:rsid w:val="003B22BD"/>
    <w:rsid w:val="003B2F05"/>
    <w:rsid w:val="003C1906"/>
    <w:rsid w:val="003C42AE"/>
    <w:rsid w:val="003C4453"/>
    <w:rsid w:val="003D0904"/>
    <w:rsid w:val="003D18CC"/>
    <w:rsid w:val="003D6080"/>
    <w:rsid w:val="003D7A9F"/>
    <w:rsid w:val="003E2E01"/>
    <w:rsid w:val="003E38E8"/>
    <w:rsid w:val="003E75B2"/>
    <w:rsid w:val="003F3C54"/>
    <w:rsid w:val="003F3D11"/>
    <w:rsid w:val="003F46E4"/>
    <w:rsid w:val="004038CC"/>
    <w:rsid w:val="00404101"/>
    <w:rsid w:val="0040670C"/>
    <w:rsid w:val="004073BD"/>
    <w:rsid w:val="00410087"/>
    <w:rsid w:val="0041038E"/>
    <w:rsid w:val="004114B4"/>
    <w:rsid w:val="0041562B"/>
    <w:rsid w:val="004167EB"/>
    <w:rsid w:val="00416AFB"/>
    <w:rsid w:val="004175DB"/>
    <w:rsid w:val="004223F2"/>
    <w:rsid w:val="004262EC"/>
    <w:rsid w:val="00430D46"/>
    <w:rsid w:val="00436E5C"/>
    <w:rsid w:val="0044107E"/>
    <w:rsid w:val="004411BB"/>
    <w:rsid w:val="00443606"/>
    <w:rsid w:val="004450C1"/>
    <w:rsid w:val="0044722A"/>
    <w:rsid w:val="00447557"/>
    <w:rsid w:val="00450CCD"/>
    <w:rsid w:val="00451C3B"/>
    <w:rsid w:val="0045523C"/>
    <w:rsid w:val="00457A55"/>
    <w:rsid w:val="00460970"/>
    <w:rsid w:val="00461BE4"/>
    <w:rsid w:val="00463C4F"/>
    <w:rsid w:val="004648C4"/>
    <w:rsid w:val="00464BE8"/>
    <w:rsid w:val="00464C79"/>
    <w:rsid w:val="00465A03"/>
    <w:rsid w:val="00465CA0"/>
    <w:rsid w:val="00466D03"/>
    <w:rsid w:val="004705EA"/>
    <w:rsid w:val="00470A2A"/>
    <w:rsid w:val="004712B3"/>
    <w:rsid w:val="00471BFD"/>
    <w:rsid w:val="0047522B"/>
    <w:rsid w:val="004757D7"/>
    <w:rsid w:val="00476229"/>
    <w:rsid w:val="004771AE"/>
    <w:rsid w:val="00483893"/>
    <w:rsid w:val="00484915"/>
    <w:rsid w:val="00484F52"/>
    <w:rsid w:val="00485300"/>
    <w:rsid w:val="004876AD"/>
    <w:rsid w:val="004920AE"/>
    <w:rsid w:val="004933BB"/>
    <w:rsid w:val="00493FF8"/>
    <w:rsid w:val="0049442F"/>
    <w:rsid w:val="00496803"/>
    <w:rsid w:val="004A0B25"/>
    <w:rsid w:val="004A2966"/>
    <w:rsid w:val="004A469C"/>
    <w:rsid w:val="004A7C57"/>
    <w:rsid w:val="004A7CAF"/>
    <w:rsid w:val="004B19D9"/>
    <w:rsid w:val="004B3E5B"/>
    <w:rsid w:val="004B402E"/>
    <w:rsid w:val="004B51D0"/>
    <w:rsid w:val="004B5DCA"/>
    <w:rsid w:val="004B6C67"/>
    <w:rsid w:val="004C0B2C"/>
    <w:rsid w:val="004C0B67"/>
    <w:rsid w:val="004C0F5E"/>
    <w:rsid w:val="004C2C2C"/>
    <w:rsid w:val="004C54B8"/>
    <w:rsid w:val="004C5E89"/>
    <w:rsid w:val="004C65EB"/>
    <w:rsid w:val="004C7AF3"/>
    <w:rsid w:val="004D07E3"/>
    <w:rsid w:val="004D11F7"/>
    <w:rsid w:val="004E3FF9"/>
    <w:rsid w:val="004E411A"/>
    <w:rsid w:val="004E5175"/>
    <w:rsid w:val="004E64AC"/>
    <w:rsid w:val="004E6B26"/>
    <w:rsid w:val="004F35D0"/>
    <w:rsid w:val="004F4711"/>
    <w:rsid w:val="004F7763"/>
    <w:rsid w:val="00503081"/>
    <w:rsid w:val="00504F56"/>
    <w:rsid w:val="00511C12"/>
    <w:rsid w:val="00515A48"/>
    <w:rsid w:val="005161A0"/>
    <w:rsid w:val="00516D61"/>
    <w:rsid w:val="0052329F"/>
    <w:rsid w:val="00524880"/>
    <w:rsid w:val="00525C22"/>
    <w:rsid w:val="0053277B"/>
    <w:rsid w:val="0053484A"/>
    <w:rsid w:val="00535AE7"/>
    <w:rsid w:val="00537421"/>
    <w:rsid w:val="00541B9E"/>
    <w:rsid w:val="00541EA9"/>
    <w:rsid w:val="00542BA0"/>
    <w:rsid w:val="00544184"/>
    <w:rsid w:val="00544803"/>
    <w:rsid w:val="005456DD"/>
    <w:rsid w:val="00545F03"/>
    <w:rsid w:val="00546FC0"/>
    <w:rsid w:val="00547BA6"/>
    <w:rsid w:val="00547F0C"/>
    <w:rsid w:val="005512BF"/>
    <w:rsid w:val="005512DE"/>
    <w:rsid w:val="00553A00"/>
    <w:rsid w:val="00554151"/>
    <w:rsid w:val="00554D96"/>
    <w:rsid w:val="00557793"/>
    <w:rsid w:val="00565948"/>
    <w:rsid w:val="00567172"/>
    <w:rsid w:val="005675A0"/>
    <w:rsid w:val="00567BA5"/>
    <w:rsid w:val="00571BDA"/>
    <w:rsid w:val="00571F0B"/>
    <w:rsid w:val="00572EB8"/>
    <w:rsid w:val="00575F21"/>
    <w:rsid w:val="0058121A"/>
    <w:rsid w:val="0058142A"/>
    <w:rsid w:val="0059153C"/>
    <w:rsid w:val="005918E5"/>
    <w:rsid w:val="00592B9F"/>
    <w:rsid w:val="0059333E"/>
    <w:rsid w:val="005956BD"/>
    <w:rsid w:val="00595CBD"/>
    <w:rsid w:val="005A3D89"/>
    <w:rsid w:val="005A45A4"/>
    <w:rsid w:val="005A5C08"/>
    <w:rsid w:val="005A5D38"/>
    <w:rsid w:val="005A67EB"/>
    <w:rsid w:val="005A71A3"/>
    <w:rsid w:val="005A71AE"/>
    <w:rsid w:val="005B385A"/>
    <w:rsid w:val="005B3FD8"/>
    <w:rsid w:val="005C20FE"/>
    <w:rsid w:val="005C2820"/>
    <w:rsid w:val="005C5347"/>
    <w:rsid w:val="005C6B78"/>
    <w:rsid w:val="005C6D57"/>
    <w:rsid w:val="005C768A"/>
    <w:rsid w:val="005D09C3"/>
    <w:rsid w:val="005D7221"/>
    <w:rsid w:val="005E00DB"/>
    <w:rsid w:val="005E0421"/>
    <w:rsid w:val="005E1E4E"/>
    <w:rsid w:val="005E6D48"/>
    <w:rsid w:val="005E6F76"/>
    <w:rsid w:val="005F6084"/>
    <w:rsid w:val="005F6795"/>
    <w:rsid w:val="005F76B6"/>
    <w:rsid w:val="005F7CE2"/>
    <w:rsid w:val="00600354"/>
    <w:rsid w:val="00600AD0"/>
    <w:rsid w:val="00600E84"/>
    <w:rsid w:val="00601212"/>
    <w:rsid w:val="006047A5"/>
    <w:rsid w:val="00604D01"/>
    <w:rsid w:val="006070BB"/>
    <w:rsid w:val="00607CEB"/>
    <w:rsid w:val="006101C4"/>
    <w:rsid w:val="00610E0D"/>
    <w:rsid w:val="0061310B"/>
    <w:rsid w:val="0062003D"/>
    <w:rsid w:val="0062095D"/>
    <w:rsid w:val="006240AE"/>
    <w:rsid w:val="00624562"/>
    <w:rsid w:val="00625B9F"/>
    <w:rsid w:val="0062635E"/>
    <w:rsid w:val="0063738F"/>
    <w:rsid w:val="00641AEE"/>
    <w:rsid w:val="006425B9"/>
    <w:rsid w:val="00643645"/>
    <w:rsid w:val="00644AB5"/>
    <w:rsid w:val="006540F7"/>
    <w:rsid w:val="006548E4"/>
    <w:rsid w:val="0065659A"/>
    <w:rsid w:val="00661BCC"/>
    <w:rsid w:val="00665E4D"/>
    <w:rsid w:val="00670246"/>
    <w:rsid w:val="00673D08"/>
    <w:rsid w:val="00673E0C"/>
    <w:rsid w:val="00680948"/>
    <w:rsid w:val="006820A5"/>
    <w:rsid w:val="00683619"/>
    <w:rsid w:val="00683914"/>
    <w:rsid w:val="00687E00"/>
    <w:rsid w:val="00691DAE"/>
    <w:rsid w:val="0069272E"/>
    <w:rsid w:val="00693784"/>
    <w:rsid w:val="006A16B6"/>
    <w:rsid w:val="006A432C"/>
    <w:rsid w:val="006A491F"/>
    <w:rsid w:val="006B246B"/>
    <w:rsid w:val="006B36F7"/>
    <w:rsid w:val="006B4F3A"/>
    <w:rsid w:val="006B58C3"/>
    <w:rsid w:val="006B6A6E"/>
    <w:rsid w:val="006C0952"/>
    <w:rsid w:val="006C5781"/>
    <w:rsid w:val="006D1A98"/>
    <w:rsid w:val="006D3CEA"/>
    <w:rsid w:val="006D7F35"/>
    <w:rsid w:val="006E179B"/>
    <w:rsid w:val="006E3F54"/>
    <w:rsid w:val="006E674C"/>
    <w:rsid w:val="006E6FDC"/>
    <w:rsid w:val="006F0FA1"/>
    <w:rsid w:val="006F14C1"/>
    <w:rsid w:val="006F1D49"/>
    <w:rsid w:val="006F3953"/>
    <w:rsid w:val="006F3D23"/>
    <w:rsid w:val="006F609B"/>
    <w:rsid w:val="006F6F51"/>
    <w:rsid w:val="00701339"/>
    <w:rsid w:val="007031D4"/>
    <w:rsid w:val="0070333E"/>
    <w:rsid w:val="0071178A"/>
    <w:rsid w:val="0071471F"/>
    <w:rsid w:val="00715272"/>
    <w:rsid w:val="00715904"/>
    <w:rsid w:val="00721A67"/>
    <w:rsid w:val="00721C03"/>
    <w:rsid w:val="00721FE6"/>
    <w:rsid w:val="007223CB"/>
    <w:rsid w:val="00727508"/>
    <w:rsid w:val="00727D88"/>
    <w:rsid w:val="00731489"/>
    <w:rsid w:val="00733F3D"/>
    <w:rsid w:val="007368FB"/>
    <w:rsid w:val="00736DC9"/>
    <w:rsid w:val="00746C6F"/>
    <w:rsid w:val="00747280"/>
    <w:rsid w:val="0075195E"/>
    <w:rsid w:val="00755411"/>
    <w:rsid w:val="0075587F"/>
    <w:rsid w:val="00755F30"/>
    <w:rsid w:val="0075688D"/>
    <w:rsid w:val="007608EF"/>
    <w:rsid w:val="00761E8A"/>
    <w:rsid w:val="00762915"/>
    <w:rsid w:val="00762A11"/>
    <w:rsid w:val="00766BF3"/>
    <w:rsid w:val="00767722"/>
    <w:rsid w:val="0077232C"/>
    <w:rsid w:val="00777FA4"/>
    <w:rsid w:val="00780344"/>
    <w:rsid w:val="0078079C"/>
    <w:rsid w:val="007809A1"/>
    <w:rsid w:val="00780A02"/>
    <w:rsid w:val="007826A3"/>
    <w:rsid w:val="00782AC3"/>
    <w:rsid w:val="0078334C"/>
    <w:rsid w:val="007833A1"/>
    <w:rsid w:val="00783FFC"/>
    <w:rsid w:val="007871B4"/>
    <w:rsid w:val="007871D2"/>
    <w:rsid w:val="007879FA"/>
    <w:rsid w:val="00790006"/>
    <w:rsid w:val="00792A02"/>
    <w:rsid w:val="00793EC6"/>
    <w:rsid w:val="0079444F"/>
    <w:rsid w:val="0079561E"/>
    <w:rsid w:val="007A19D9"/>
    <w:rsid w:val="007A3752"/>
    <w:rsid w:val="007A4F16"/>
    <w:rsid w:val="007A6A0C"/>
    <w:rsid w:val="007B02C6"/>
    <w:rsid w:val="007B360D"/>
    <w:rsid w:val="007B3749"/>
    <w:rsid w:val="007B65BC"/>
    <w:rsid w:val="007B6DCA"/>
    <w:rsid w:val="007B74BC"/>
    <w:rsid w:val="007C09F7"/>
    <w:rsid w:val="007C25D7"/>
    <w:rsid w:val="007C4B1D"/>
    <w:rsid w:val="007C4C6E"/>
    <w:rsid w:val="007C6E2E"/>
    <w:rsid w:val="007C6E32"/>
    <w:rsid w:val="007D07E9"/>
    <w:rsid w:val="007D189E"/>
    <w:rsid w:val="007D230A"/>
    <w:rsid w:val="007D48BF"/>
    <w:rsid w:val="007D4D5B"/>
    <w:rsid w:val="007D7BF9"/>
    <w:rsid w:val="007E2450"/>
    <w:rsid w:val="007E6D65"/>
    <w:rsid w:val="007F2233"/>
    <w:rsid w:val="007F40B3"/>
    <w:rsid w:val="007F609A"/>
    <w:rsid w:val="008007A7"/>
    <w:rsid w:val="00805121"/>
    <w:rsid w:val="00805867"/>
    <w:rsid w:val="00806F47"/>
    <w:rsid w:val="00810439"/>
    <w:rsid w:val="00812179"/>
    <w:rsid w:val="00814197"/>
    <w:rsid w:val="00815042"/>
    <w:rsid w:val="0081598A"/>
    <w:rsid w:val="008231A9"/>
    <w:rsid w:val="00825443"/>
    <w:rsid w:val="00825BBC"/>
    <w:rsid w:val="008268B4"/>
    <w:rsid w:val="00826A8A"/>
    <w:rsid w:val="008302E6"/>
    <w:rsid w:val="00833F2E"/>
    <w:rsid w:val="0083575B"/>
    <w:rsid w:val="00837F2A"/>
    <w:rsid w:val="00842423"/>
    <w:rsid w:val="00844D80"/>
    <w:rsid w:val="00845091"/>
    <w:rsid w:val="00850662"/>
    <w:rsid w:val="00851A84"/>
    <w:rsid w:val="00853527"/>
    <w:rsid w:val="008535FA"/>
    <w:rsid w:val="0085523F"/>
    <w:rsid w:val="00861EFA"/>
    <w:rsid w:val="0087136B"/>
    <w:rsid w:val="00872561"/>
    <w:rsid w:val="00872ABF"/>
    <w:rsid w:val="008733D3"/>
    <w:rsid w:val="00873792"/>
    <w:rsid w:val="00873D69"/>
    <w:rsid w:val="00880056"/>
    <w:rsid w:val="00880A2B"/>
    <w:rsid w:val="00881718"/>
    <w:rsid w:val="00883A37"/>
    <w:rsid w:val="00891466"/>
    <w:rsid w:val="00892B87"/>
    <w:rsid w:val="008957E3"/>
    <w:rsid w:val="00897D69"/>
    <w:rsid w:val="008A0974"/>
    <w:rsid w:val="008A3899"/>
    <w:rsid w:val="008A4437"/>
    <w:rsid w:val="008A74A3"/>
    <w:rsid w:val="008B0CE4"/>
    <w:rsid w:val="008B0D43"/>
    <w:rsid w:val="008B2D3C"/>
    <w:rsid w:val="008B500A"/>
    <w:rsid w:val="008B5C56"/>
    <w:rsid w:val="008B637B"/>
    <w:rsid w:val="008B7868"/>
    <w:rsid w:val="008C185C"/>
    <w:rsid w:val="008C51A5"/>
    <w:rsid w:val="008C58A5"/>
    <w:rsid w:val="008C67E4"/>
    <w:rsid w:val="008C77BE"/>
    <w:rsid w:val="008D088A"/>
    <w:rsid w:val="008D0995"/>
    <w:rsid w:val="008D1126"/>
    <w:rsid w:val="008D2C19"/>
    <w:rsid w:val="008D462F"/>
    <w:rsid w:val="008D4BE1"/>
    <w:rsid w:val="008D7313"/>
    <w:rsid w:val="008E00EE"/>
    <w:rsid w:val="008E115A"/>
    <w:rsid w:val="008E3A23"/>
    <w:rsid w:val="008E73D0"/>
    <w:rsid w:val="008F016D"/>
    <w:rsid w:val="008F044E"/>
    <w:rsid w:val="008F3CB3"/>
    <w:rsid w:val="008F5F51"/>
    <w:rsid w:val="008F6855"/>
    <w:rsid w:val="008F7046"/>
    <w:rsid w:val="008F7E29"/>
    <w:rsid w:val="00901AD1"/>
    <w:rsid w:val="00903D33"/>
    <w:rsid w:val="00905624"/>
    <w:rsid w:val="009064FD"/>
    <w:rsid w:val="00911E7A"/>
    <w:rsid w:val="00916811"/>
    <w:rsid w:val="00917802"/>
    <w:rsid w:val="00922028"/>
    <w:rsid w:val="009237D7"/>
    <w:rsid w:val="00926747"/>
    <w:rsid w:val="00926CAD"/>
    <w:rsid w:val="00931C99"/>
    <w:rsid w:val="009334C6"/>
    <w:rsid w:val="00935039"/>
    <w:rsid w:val="0093506D"/>
    <w:rsid w:val="009353CA"/>
    <w:rsid w:val="00936596"/>
    <w:rsid w:val="0093664C"/>
    <w:rsid w:val="0093733B"/>
    <w:rsid w:val="00941D2A"/>
    <w:rsid w:val="00941FE8"/>
    <w:rsid w:val="00942B79"/>
    <w:rsid w:val="00943F2C"/>
    <w:rsid w:val="00944E81"/>
    <w:rsid w:val="00945F27"/>
    <w:rsid w:val="00946B71"/>
    <w:rsid w:val="009472D2"/>
    <w:rsid w:val="00953D11"/>
    <w:rsid w:val="0095471A"/>
    <w:rsid w:val="00954CC8"/>
    <w:rsid w:val="00954E2F"/>
    <w:rsid w:val="0095634D"/>
    <w:rsid w:val="00961318"/>
    <w:rsid w:val="0096275E"/>
    <w:rsid w:val="0096307C"/>
    <w:rsid w:val="00963D77"/>
    <w:rsid w:val="00964422"/>
    <w:rsid w:val="00964C40"/>
    <w:rsid w:val="00965EA1"/>
    <w:rsid w:val="00970DEC"/>
    <w:rsid w:val="009722EA"/>
    <w:rsid w:val="00973B79"/>
    <w:rsid w:val="0097626D"/>
    <w:rsid w:val="00976BB9"/>
    <w:rsid w:val="00976D41"/>
    <w:rsid w:val="00980BD6"/>
    <w:rsid w:val="00981F75"/>
    <w:rsid w:val="00984AAA"/>
    <w:rsid w:val="00990184"/>
    <w:rsid w:val="00990998"/>
    <w:rsid w:val="009A0488"/>
    <w:rsid w:val="009A227F"/>
    <w:rsid w:val="009A3041"/>
    <w:rsid w:val="009A383D"/>
    <w:rsid w:val="009A5202"/>
    <w:rsid w:val="009B193F"/>
    <w:rsid w:val="009B4563"/>
    <w:rsid w:val="009B5E0A"/>
    <w:rsid w:val="009B5FDD"/>
    <w:rsid w:val="009B632B"/>
    <w:rsid w:val="009C0C2A"/>
    <w:rsid w:val="009C2979"/>
    <w:rsid w:val="009C2A16"/>
    <w:rsid w:val="009C2C63"/>
    <w:rsid w:val="009C34F8"/>
    <w:rsid w:val="009C3EB3"/>
    <w:rsid w:val="009C4099"/>
    <w:rsid w:val="009C471C"/>
    <w:rsid w:val="009C4B0C"/>
    <w:rsid w:val="009C5D15"/>
    <w:rsid w:val="009C7619"/>
    <w:rsid w:val="009C78F8"/>
    <w:rsid w:val="009C7D05"/>
    <w:rsid w:val="009D0906"/>
    <w:rsid w:val="009D21FF"/>
    <w:rsid w:val="009D3401"/>
    <w:rsid w:val="009D3565"/>
    <w:rsid w:val="009E306F"/>
    <w:rsid w:val="009E3668"/>
    <w:rsid w:val="009E3CA5"/>
    <w:rsid w:val="009E474D"/>
    <w:rsid w:val="009E5EFC"/>
    <w:rsid w:val="009E62D4"/>
    <w:rsid w:val="009E6B3C"/>
    <w:rsid w:val="009E74F8"/>
    <w:rsid w:val="009F0346"/>
    <w:rsid w:val="009F1501"/>
    <w:rsid w:val="009F18E6"/>
    <w:rsid w:val="009F2586"/>
    <w:rsid w:val="009F2E00"/>
    <w:rsid w:val="009F64CF"/>
    <w:rsid w:val="009F6700"/>
    <w:rsid w:val="009F7861"/>
    <w:rsid w:val="009F7907"/>
    <w:rsid w:val="00A00355"/>
    <w:rsid w:val="00A0435D"/>
    <w:rsid w:val="00A0493C"/>
    <w:rsid w:val="00A0744B"/>
    <w:rsid w:val="00A07ACA"/>
    <w:rsid w:val="00A123BF"/>
    <w:rsid w:val="00A13682"/>
    <w:rsid w:val="00A13A9E"/>
    <w:rsid w:val="00A17C57"/>
    <w:rsid w:val="00A21148"/>
    <w:rsid w:val="00A22109"/>
    <w:rsid w:val="00A24C5E"/>
    <w:rsid w:val="00A25F4F"/>
    <w:rsid w:val="00A262FB"/>
    <w:rsid w:val="00A30E04"/>
    <w:rsid w:val="00A312EE"/>
    <w:rsid w:val="00A31E70"/>
    <w:rsid w:val="00A32379"/>
    <w:rsid w:val="00A328FA"/>
    <w:rsid w:val="00A34EB2"/>
    <w:rsid w:val="00A35F21"/>
    <w:rsid w:val="00A36D0E"/>
    <w:rsid w:val="00A36E3E"/>
    <w:rsid w:val="00A37CF5"/>
    <w:rsid w:val="00A42465"/>
    <w:rsid w:val="00A42EA7"/>
    <w:rsid w:val="00A45956"/>
    <w:rsid w:val="00A4626C"/>
    <w:rsid w:val="00A47EA0"/>
    <w:rsid w:val="00A510FA"/>
    <w:rsid w:val="00A5241C"/>
    <w:rsid w:val="00A5310E"/>
    <w:rsid w:val="00A57DCD"/>
    <w:rsid w:val="00A62185"/>
    <w:rsid w:val="00A632C2"/>
    <w:rsid w:val="00A67DC4"/>
    <w:rsid w:val="00A70525"/>
    <w:rsid w:val="00A7201A"/>
    <w:rsid w:val="00A7220A"/>
    <w:rsid w:val="00A73F60"/>
    <w:rsid w:val="00A742B6"/>
    <w:rsid w:val="00A823AC"/>
    <w:rsid w:val="00A8360E"/>
    <w:rsid w:val="00A8403B"/>
    <w:rsid w:val="00A85CF1"/>
    <w:rsid w:val="00A87954"/>
    <w:rsid w:val="00A9139D"/>
    <w:rsid w:val="00A959FF"/>
    <w:rsid w:val="00A9609C"/>
    <w:rsid w:val="00A96B8B"/>
    <w:rsid w:val="00AA0280"/>
    <w:rsid w:val="00AA0C77"/>
    <w:rsid w:val="00AA3D79"/>
    <w:rsid w:val="00AA577A"/>
    <w:rsid w:val="00AB1066"/>
    <w:rsid w:val="00AB34BA"/>
    <w:rsid w:val="00AB510B"/>
    <w:rsid w:val="00AB5CB4"/>
    <w:rsid w:val="00AC6187"/>
    <w:rsid w:val="00AC6375"/>
    <w:rsid w:val="00AC6CD7"/>
    <w:rsid w:val="00AC715D"/>
    <w:rsid w:val="00AD1049"/>
    <w:rsid w:val="00AD20C7"/>
    <w:rsid w:val="00AD33D0"/>
    <w:rsid w:val="00AD39F3"/>
    <w:rsid w:val="00AD3D4C"/>
    <w:rsid w:val="00AD5A76"/>
    <w:rsid w:val="00AD72B5"/>
    <w:rsid w:val="00AE0EA2"/>
    <w:rsid w:val="00AE3380"/>
    <w:rsid w:val="00AE6DEC"/>
    <w:rsid w:val="00AE733D"/>
    <w:rsid w:val="00AF28A5"/>
    <w:rsid w:val="00AF62AC"/>
    <w:rsid w:val="00B001D6"/>
    <w:rsid w:val="00B001E2"/>
    <w:rsid w:val="00B01639"/>
    <w:rsid w:val="00B03160"/>
    <w:rsid w:val="00B04251"/>
    <w:rsid w:val="00B0607D"/>
    <w:rsid w:val="00B0613D"/>
    <w:rsid w:val="00B13F34"/>
    <w:rsid w:val="00B16D3D"/>
    <w:rsid w:val="00B20381"/>
    <w:rsid w:val="00B20D76"/>
    <w:rsid w:val="00B2205A"/>
    <w:rsid w:val="00B22BAE"/>
    <w:rsid w:val="00B22C7A"/>
    <w:rsid w:val="00B241EF"/>
    <w:rsid w:val="00B2500E"/>
    <w:rsid w:val="00B252CB"/>
    <w:rsid w:val="00B25947"/>
    <w:rsid w:val="00B27D17"/>
    <w:rsid w:val="00B30124"/>
    <w:rsid w:val="00B311D9"/>
    <w:rsid w:val="00B315C7"/>
    <w:rsid w:val="00B326A5"/>
    <w:rsid w:val="00B337CE"/>
    <w:rsid w:val="00B34DB6"/>
    <w:rsid w:val="00B34E21"/>
    <w:rsid w:val="00B36ABD"/>
    <w:rsid w:val="00B3736A"/>
    <w:rsid w:val="00B405D6"/>
    <w:rsid w:val="00B41454"/>
    <w:rsid w:val="00B41CD2"/>
    <w:rsid w:val="00B420FA"/>
    <w:rsid w:val="00B43BEF"/>
    <w:rsid w:val="00B4613E"/>
    <w:rsid w:val="00B527A7"/>
    <w:rsid w:val="00B53517"/>
    <w:rsid w:val="00B55A8D"/>
    <w:rsid w:val="00B5704F"/>
    <w:rsid w:val="00B61025"/>
    <w:rsid w:val="00B62E48"/>
    <w:rsid w:val="00B6450D"/>
    <w:rsid w:val="00B708A4"/>
    <w:rsid w:val="00B7209E"/>
    <w:rsid w:val="00B720A9"/>
    <w:rsid w:val="00B741F9"/>
    <w:rsid w:val="00B74C5B"/>
    <w:rsid w:val="00B8001D"/>
    <w:rsid w:val="00B8045D"/>
    <w:rsid w:val="00B821B4"/>
    <w:rsid w:val="00B8245E"/>
    <w:rsid w:val="00B83D98"/>
    <w:rsid w:val="00B85448"/>
    <w:rsid w:val="00B85AEC"/>
    <w:rsid w:val="00B874AB"/>
    <w:rsid w:val="00B90315"/>
    <w:rsid w:val="00B9232F"/>
    <w:rsid w:val="00B92461"/>
    <w:rsid w:val="00BA0797"/>
    <w:rsid w:val="00BA1830"/>
    <w:rsid w:val="00BA23F6"/>
    <w:rsid w:val="00BA39D0"/>
    <w:rsid w:val="00BA3F43"/>
    <w:rsid w:val="00BA5AA7"/>
    <w:rsid w:val="00BB3292"/>
    <w:rsid w:val="00BB3F6B"/>
    <w:rsid w:val="00BB762A"/>
    <w:rsid w:val="00BC0D6F"/>
    <w:rsid w:val="00BC392C"/>
    <w:rsid w:val="00BC62D4"/>
    <w:rsid w:val="00BC6C11"/>
    <w:rsid w:val="00BD04CC"/>
    <w:rsid w:val="00BD1576"/>
    <w:rsid w:val="00BD18DC"/>
    <w:rsid w:val="00BD372C"/>
    <w:rsid w:val="00BD5EF3"/>
    <w:rsid w:val="00BD5F26"/>
    <w:rsid w:val="00BD78F9"/>
    <w:rsid w:val="00BE276A"/>
    <w:rsid w:val="00BE2C88"/>
    <w:rsid w:val="00BE549C"/>
    <w:rsid w:val="00BE733F"/>
    <w:rsid w:val="00BF15F7"/>
    <w:rsid w:val="00BF4093"/>
    <w:rsid w:val="00BF4734"/>
    <w:rsid w:val="00BF5E97"/>
    <w:rsid w:val="00C045F6"/>
    <w:rsid w:val="00C07944"/>
    <w:rsid w:val="00C118FE"/>
    <w:rsid w:val="00C14177"/>
    <w:rsid w:val="00C14D82"/>
    <w:rsid w:val="00C16EC4"/>
    <w:rsid w:val="00C2705C"/>
    <w:rsid w:val="00C32F63"/>
    <w:rsid w:val="00C330CE"/>
    <w:rsid w:val="00C35015"/>
    <w:rsid w:val="00C3656E"/>
    <w:rsid w:val="00C37C53"/>
    <w:rsid w:val="00C41CA3"/>
    <w:rsid w:val="00C4250C"/>
    <w:rsid w:val="00C42785"/>
    <w:rsid w:val="00C43B07"/>
    <w:rsid w:val="00C45DB8"/>
    <w:rsid w:val="00C46A54"/>
    <w:rsid w:val="00C47B26"/>
    <w:rsid w:val="00C53518"/>
    <w:rsid w:val="00C53654"/>
    <w:rsid w:val="00C55CCF"/>
    <w:rsid w:val="00C572C8"/>
    <w:rsid w:val="00C612AF"/>
    <w:rsid w:val="00C70B03"/>
    <w:rsid w:val="00C715DF"/>
    <w:rsid w:val="00C74C29"/>
    <w:rsid w:val="00C756C5"/>
    <w:rsid w:val="00C800A2"/>
    <w:rsid w:val="00C8030B"/>
    <w:rsid w:val="00C81C59"/>
    <w:rsid w:val="00C84916"/>
    <w:rsid w:val="00C84D87"/>
    <w:rsid w:val="00C85694"/>
    <w:rsid w:val="00C85C97"/>
    <w:rsid w:val="00C86791"/>
    <w:rsid w:val="00C870D3"/>
    <w:rsid w:val="00C8773E"/>
    <w:rsid w:val="00C87C75"/>
    <w:rsid w:val="00C87E8C"/>
    <w:rsid w:val="00C910DE"/>
    <w:rsid w:val="00C93C86"/>
    <w:rsid w:val="00CA03D9"/>
    <w:rsid w:val="00CA2AEA"/>
    <w:rsid w:val="00CA32A0"/>
    <w:rsid w:val="00CA41EE"/>
    <w:rsid w:val="00CB1E55"/>
    <w:rsid w:val="00CB30A8"/>
    <w:rsid w:val="00CB506E"/>
    <w:rsid w:val="00CC2DD6"/>
    <w:rsid w:val="00CC668C"/>
    <w:rsid w:val="00CC76D9"/>
    <w:rsid w:val="00CD0290"/>
    <w:rsid w:val="00CD42DA"/>
    <w:rsid w:val="00CD4AC7"/>
    <w:rsid w:val="00CE063B"/>
    <w:rsid w:val="00CE0648"/>
    <w:rsid w:val="00CE29F9"/>
    <w:rsid w:val="00CE37E6"/>
    <w:rsid w:val="00CE3883"/>
    <w:rsid w:val="00CE4782"/>
    <w:rsid w:val="00CE4DB0"/>
    <w:rsid w:val="00CE76F1"/>
    <w:rsid w:val="00CE79B4"/>
    <w:rsid w:val="00CF01A5"/>
    <w:rsid w:val="00CF0610"/>
    <w:rsid w:val="00CF0EED"/>
    <w:rsid w:val="00CF2172"/>
    <w:rsid w:val="00CF2D46"/>
    <w:rsid w:val="00CF43A6"/>
    <w:rsid w:val="00CF5481"/>
    <w:rsid w:val="00CF5BAF"/>
    <w:rsid w:val="00CF67ED"/>
    <w:rsid w:val="00D00877"/>
    <w:rsid w:val="00D01875"/>
    <w:rsid w:val="00D0272C"/>
    <w:rsid w:val="00D052BC"/>
    <w:rsid w:val="00D058BD"/>
    <w:rsid w:val="00D06AAA"/>
    <w:rsid w:val="00D10AF7"/>
    <w:rsid w:val="00D11635"/>
    <w:rsid w:val="00D20D15"/>
    <w:rsid w:val="00D243BA"/>
    <w:rsid w:val="00D303A3"/>
    <w:rsid w:val="00D30AD4"/>
    <w:rsid w:val="00D30B96"/>
    <w:rsid w:val="00D316EA"/>
    <w:rsid w:val="00D3365C"/>
    <w:rsid w:val="00D33686"/>
    <w:rsid w:val="00D34B45"/>
    <w:rsid w:val="00D408DC"/>
    <w:rsid w:val="00D40EC3"/>
    <w:rsid w:val="00D41876"/>
    <w:rsid w:val="00D425D8"/>
    <w:rsid w:val="00D46F55"/>
    <w:rsid w:val="00D47CEA"/>
    <w:rsid w:val="00D5219C"/>
    <w:rsid w:val="00D535F2"/>
    <w:rsid w:val="00D53651"/>
    <w:rsid w:val="00D54C89"/>
    <w:rsid w:val="00D56E07"/>
    <w:rsid w:val="00D738A9"/>
    <w:rsid w:val="00D74FE8"/>
    <w:rsid w:val="00D77D1F"/>
    <w:rsid w:val="00D80F83"/>
    <w:rsid w:val="00D83B70"/>
    <w:rsid w:val="00D840D8"/>
    <w:rsid w:val="00D86628"/>
    <w:rsid w:val="00D873CA"/>
    <w:rsid w:val="00D874A3"/>
    <w:rsid w:val="00D90929"/>
    <w:rsid w:val="00D921DB"/>
    <w:rsid w:val="00D972FE"/>
    <w:rsid w:val="00DA43AB"/>
    <w:rsid w:val="00DA4B73"/>
    <w:rsid w:val="00DA74F7"/>
    <w:rsid w:val="00DB529D"/>
    <w:rsid w:val="00DC015E"/>
    <w:rsid w:val="00DC1640"/>
    <w:rsid w:val="00DC22A7"/>
    <w:rsid w:val="00DC2583"/>
    <w:rsid w:val="00DC27C6"/>
    <w:rsid w:val="00DC5A24"/>
    <w:rsid w:val="00DC60AB"/>
    <w:rsid w:val="00DC74D6"/>
    <w:rsid w:val="00DD0EFD"/>
    <w:rsid w:val="00DD1137"/>
    <w:rsid w:val="00DD3BE9"/>
    <w:rsid w:val="00DD4938"/>
    <w:rsid w:val="00DD6930"/>
    <w:rsid w:val="00DE0730"/>
    <w:rsid w:val="00DE1DB2"/>
    <w:rsid w:val="00DE303C"/>
    <w:rsid w:val="00DE4115"/>
    <w:rsid w:val="00DE741F"/>
    <w:rsid w:val="00DE7763"/>
    <w:rsid w:val="00DF09F8"/>
    <w:rsid w:val="00DF0BFC"/>
    <w:rsid w:val="00DF521A"/>
    <w:rsid w:val="00DF7089"/>
    <w:rsid w:val="00DF70B9"/>
    <w:rsid w:val="00E01359"/>
    <w:rsid w:val="00E018F4"/>
    <w:rsid w:val="00E02815"/>
    <w:rsid w:val="00E0315C"/>
    <w:rsid w:val="00E03FF2"/>
    <w:rsid w:val="00E04D50"/>
    <w:rsid w:val="00E05C4D"/>
    <w:rsid w:val="00E05CAB"/>
    <w:rsid w:val="00E06CA2"/>
    <w:rsid w:val="00E076EE"/>
    <w:rsid w:val="00E10A68"/>
    <w:rsid w:val="00E11437"/>
    <w:rsid w:val="00E12216"/>
    <w:rsid w:val="00E1252A"/>
    <w:rsid w:val="00E149A8"/>
    <w:rsid w:val="00E2201B"/>
    <w:rsid w:val="00E228A2"/>
    <w:rsid w:val="00E240B6"/>
    <w:rsid w:val="00E30A2C"/>
    <w:rsid w:val="00E30A50"/>
    <w:rsid w:val="00E351B0"/>
    <w:rsid w:val="00E37A02"/>
    <w:rsid w:val="00E404B5"/>
    <w:rsid w:val="00E41B9D"/>
    <w:rsid w:val="00E42020"/>
    <w:rsid w:val="00E4240F"/>
    <w:rsid w:val="00E42AFF"/>
    <w:rsid w:val="00E4454D"/>
    <w:rsid w:val="00E455F2"/>
    <w:rsid w:val="00E45A70"/>
    <w:rsid w:val="00E46E23"/>
    <w:rsid w:val="00E503C2"/>
    <w:rsid w:val="00E5343D"/>
    <w:rsid w:val="00E53877"/>
    <w:rsid w:val="00E54461"/>
    <w:rsid w:val="00E559CE"/>
    <w:rsid w:val="00E55B68"/>
    <w:rsid w:val="00E570E1"/>
    <w:rsid w:val="00E57BF8"/>
    <w:rsid w:val="00E6057D"/>
    <w:rsid w:val="00E6078C"/>
    <w:rsid w:val="00E6237B"/>
    <w:rsid w:val="00E66252"/>
    <w:rsid w:val="00E67478"/>
    <w:rsid w:val="00E7477E"/>
    <w:rsid w:val="00E74980"/>
    <w:rsid w:val="00E76A36"/>
    <w:rsid w:val="00E76BC2"/>
    <w:rsid w:val="00E83CAF"/>
    <w:rsid w:val="00E840FD"/>
    <w:rsid w:val="00E85150"/>
    <w:rsid w:val="00E87D04"/>
    <w:rsid w:val="00E90B62"/>
    <w:rsid w:val="00E921AB"/>
    <w:rsid w:val="00E924CD"/>
    <w:rsid w:val="00E93932"/>
    <w:rsid w:val="00E9448A"/>
    <w:rsid w:val="00E9594E"/>
    <w:rsid w:val="00E969B0"/>
    <w:rsid w:val="00E9761C"/>
    <w:rsid w:val="00EA4369"/>
    <w:rsid w:val="00EA4733"/>
    <w:rsid w:val="00EA524D"/>
    <w:rsid w:val="00EA525D"/>
    <w:rsid w:val="00EB028C"/>
    <w:rsid w:val="00EB0300"/>
    <w:rsid w:val="00EB10F7"/>
    <w:rsid w:val="00EB2BB3"/>
    <w:rsid w:val="00EB2C89"/>
    <w:rsid w:val="00EB4A24"/>
    <w:rsid w:val="00EB5DBD"/>
    <w:rsid w:val="00EB5E07"/>
    <w:rsid w:val="00EB61F6"/>
    <w:rsid w:val="00EB649E"/>
    <w:rsid w:val="00EB7CBB"/>
    <w:rsid w:val="00EC04C3"/>
    <w:rsid w:val="00EC0F1E"/>
    <w:rsid w:val="00EC2102"/>
    <w:rsid w:val="00EC2C73"/>
    <w:rsid w:val="00EC3A3D"/>
    <w:rsid w:val="00EC481E"/>
    <w:rsid w:val="00EC4825"/>
    <w:rsid w:val="00EC5474"/>
    <w:rsid w:val="00EC62B7"/>
    <w:rsid w:val="00ED220C"/>
    <w:rsid w:val="00ED2599"/>
    <w:rsid w:val="00ED44F5"/>
    <w:rsid w:val="00ED6957"/>
    <w:rsid w:val="00ED6CCC"/>
    <w:rsid w:val="00ED6D76"/>
    <w:rsid w:val="00EE1CCA"/>
    <w:rsid w:val="00EE2897"/>
    <w:rsid w:val="00EE2F7A"/>
    <w:rsid w:val="00EF2EC6"/>
    <w:rsid w:val="00EF4DC6"/>
    <w:rsid w:val="00EF5333"/>
    <w:rsid w:val="00F00322"/>
    <w:rsid w:val="00F014B2"/>
    <w:rsid w:val="00F02EF7"/>
    <w:rsid w:val="00F038CA"/>
    <w:rsid w:val="00F07046"/>
    <w:rsid w:val="00F12CB0"/>
    <w:rsid w:val="00F13869"/>
    <w:rsid w:val="00F15365"/>
    <w:rsid w:val="00F163FB"/>
    <w:rsid w:val="00F167A0"/>
    <w:rsid w:val="00F16B8C"/>
    <w:rsid w:val="00F213A1"/>
    <w:rsid w:val="00F232DA"/>
    <w:rsid w:val="00F31F0B"/>
    <w:rsid w:val="00F332B0"/>
    <w:rsid w:val="00F34685"/>
    <w:rsid w:val="00F35714"/>
    <w:rsid w:val="00F40609"/>
    <w:rsid w:val="00F418CF"/>
    <w:rsid w:val="00F42BD2"/>
    <w:rsid w:val="00F4366C"/>
    <w:rsid w:val="00F439FE"/>
    <w:rsid w:val="00F46E45"/>
    <w:rsid w:val="00F47940"/>
    <w:rsid w:val="00F52D54"/>
    <w:rsid w:val="00F53B27"/>
    <w:rsid w:val="00F53D56"/>
    <w:rsid w:val="00F53EA4"/>
    <w:rsid w:val="00F543D4"/>
    <w:rsid w:val="00F5550E"/>
    <w:rsid w:val="00F556D3"/>
    <w:rsid w:val="00F56B12"/>
    <w:rsid w:val="00F61EDD"/>
    <w:rsid w:val="00F6644F"/>
    <w:rsid w:val="00F676E1"/>
    <w:rsid w:val="00F701FB"/>
    <w:rsid w:val="00F70336"/>
    <w:rsid w:val="00F716DB"/>
    <w:rsid w:val="00F75B42"/>
    <w:rsid w:val="00F75D1B"/>
    <w:rsid w:val="00F776D9"/>
    <w:rsid w:val="00F81097"/>
    <w:rsid w:val="00F8274F"/>
    <w:rsid w:val="00F82F32"/>
    <w:rsid w:val="00F83B99"/>
    <w:rsid w:val="00F83CE4"/>
    <w:rsid w:val="00F83D16"/>
    <w:rsid w:val="00F90FC7"/>
    <w:rsid w:val="00F917EC"/>
    <w:rsid w:val="00F91C76"/>
    <w:rsid w:val="00F9240E"/>
    <w:rsid w:val="00F97314"/>
    <w:rsid w:val="00FA2558"/>
    <w:rsid w:val="00FA295B"/>
    <w:rsid w:val="00FA2FD9"/>
    <w:rsid w:val="00FA35F0"/>
    <w:rsid w:val="00FA3CF3"/>
    <w:rsid w:val="00FA4EBE"/>
    <w:rsid w:val="00FB03BD"/>
    <w:rsid w:val="00FB077B"/>
    <w:rsid w:val="00FB151B"/>
    <w:rsid w:val="00FB1D33"/>
    <w:rsid w:val="00FB2F57"/>
    <w:rsid w:val="00FB3B29"/>
    <w:rsid w:val="00FB5435"/>
    <w:rsid w:val="00FB6799"/>
    <w:rsid w:val="00FC0284"/>
    <w:rsid w:val="00FC146D"/>
    <w:rsid w:val="00FC2DA8"/>
    <w:rsid w:val="00FC5B69"/>
    <w:rsid w:val="00FC6D5D"/>
    <w:rsid w:val="00FC7AC7"/>
    <w:rsid w:val="00FD4287"/>
    <w:rsid w:val="00FD4F02"/>
    <w:rsid w:val="00FD5973"/>
    <w:rsid w:val="00FD6EAE"/>
    <w:rsid w:val="00FE3FDE"/>
    <w:rsid w:val="00FE5643"/>
    <w:rsid w:val="00FE6C0A"/>
    <w:rsid w:val="00FF2E5D"/>
    <w:rsid w:val="00FF33D4"/>
    <w:rsid w:val="00FF59C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AA4F6"/>
  <w15:docId w15:val="{CC7FD94A-0DAA-4088-BACA-05E6B92E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988"/>
    <w:pPr>
      <w:spacing w:after="0" w:line="240" w:lineRule="auto"/>
    </w:pPr>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988"/>
    <w:pPr>
      <w:tabs>
        <w:tab w:val="center" w:pos="4536"/>
        <w:tab w:val="right" w:pos="9072"/>
      </w:tabs>
    </w:pPr>
  </w:style>
  <w:style w:type="character" w:customStyle="1" w:styleId="HeaderChar">
    <w:name w:val="Header Char"/>
    <w:basedOn w:val="DefaultParagraphFont"/>
    <w:link w:val="Header"/>
    <w:uiPriority w:val="99"/>
    <w:rsid w:val="00086988"/>
    <w:rPr>
      <w:sz w:val="24"/>
      <w:szCs w:val="24"/>
      <w:lang w:val="pl-PL"/>
    </w:rPr>
  </w:style>
  <w:style w:type="paragraph" w:styleId="Footer">
    <w:name w:val="footer"/>
    <w:basedOn w:val="Normal"/>
    <w:link w:val="FooterChar"/>
    <w:uiPriority w:val="99"/>
    <w:unhideWhenUsed/>
    <w:rsid w:val="00086988"/>
    <w:pPr>
      <w:tabs>
        <w:tab w:val="center" w:pos="4536"/>
        <w:tab w:val="right" w:pos="9072"/>
      </w:tabs>
    </w:pPr>
  </w:style>
  <w:style w:type="character" w:customStyle="1" w:styleId="FooterChar">
    <w:name w:val="Footer Char"/>
    <w:basedOn w:val="DefaultParagraphFont"/>
    <w:link w:val="Footer"/>
    <w:uiPriority w:val="99"/>
    <w:rsid w:val="00086988"/>
    <w:rPr>
      <w:sz w:val="24"/>
      <w:szCs w:val="24"/>
      <w:lang w:val="pl-PL"/>
    </w:rPr>
  </w:style>
  <w:style w:type="character" w:styleId="Hyperlink">
    <w:name w:val="Hyperlink"/>
    <w:basedOn w:val="DefaultParagraphFont"/>
    <w:uiPriority w:val="99"/>
    <w:unhideWhenUsed/>
    <w:rsid w:val="00086988"/>
    <w:rPr>
      <w:color w:val="0000FF" w:themeColor="hyperlink"/>
      <w:u w:val="single"/>
    </w:rPr>
  </w:style>
  <w:style w:type="paragraph" w:styleId="NoSpacing">
    <w:name w:val="No Spacing"/>
    <w:uiPriority w:val="1"/>
    <w:qFormat/>
    <w:rsid w:val="00086988"/>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6988"/>
    <w:rPr>
      <w:rFonts w:ascii="Tahoma" w:hAnsi="Tahoma" w:cs="Tahoma"/>
      <w:sz w:val="16"/>
      <w:szCs w:val="16"/>
    </w:rPr>
  </w:style>
  <w:style w:type="character" w:customStyle="1" w:styleId="BalloonTextChar">
    <w:name w:val="Balloon Text Char"/>
    <w:basedOn w:val="DefaultParagraphFont"/>
    <w:link w:val="BalloonText"/>
    <w:uiPriority w:val="99"/>
    <w:semiHidden/>
    <w:rsid w:val="00086988"/>
    <w:rPr>
      <w:rFonts w:ascii="Tahoma" w:hAnsi="Tahoma" w:cs="Tahoma"/>
      <w:sz w:val="16"/>
      <w:szCs w:val="16"/>
      <w:lang w:val="pl-PL"/>
    </w:rPr>
  </w:style>
  <w:style w:type="character" w:styleId="CommentReference">
    <w:name w:val="annotation reference"/>
    <w:basedOn w:val="DefaultParagraphFont"/>
    <w:uiPriority w:val="99"/>
    <w:unhideWhenUsed/>
    <w:qFormat/>
    <w:rsid w:val="00E351B0"/>
    <w:rPr>
      <w:sz w:val="16"/>
      <w:szCs w:val="16"/>
    </w:rPr>
  </w:style>
  <w:style w:type="paragraph" w:styleId="CommentText">
    <w:name w:val="annotation text"/>
    <w:basedOn w:val="Normal"/>
    <w:link w:val="CommentTextChar"/>
    <w:uiPriority w:val="99"/>
    <w:unhideWhenUsed/>
    <w:rsid w:val="00E351B0"/>
    <w:rPr>
      <w:sz w:val="20"/>
      <w:szCs w:val="20"/>
    </w:rPr>
  </w:style>
  <w:style w:type="character" w:customStyle="1" w:styleId="CommentTextChar">
    <w:name w:val="Comment Text Char"/>
    <w:basedOn w:val="DefaultParagraphFont"/>
    <w:link w:val="CommentText"/>
    <w:uiPriority w:val="99"/>
    <w:rsid w:val="00E351B0"/>
    <w:rPr>
      <w:sz w:val="20"/>
      <w:szCs w:val="20"/>
      <w:lang w:val="pl-PL"/>
    </w:rPr>
  </w:style>
  <w:style w:type="paragraph" w:styleId="CommentSubject">
    <w:name w:val="annotation subject"/>
    <w:basedOn w:val="CommentText"/>
    <w:next w:val="CommentText"/>
    <w:link w:val="CommentSubjectChar"/>
    <w:uiPriority w:val="99"/>
    <w:semiHidden/>
    <w:unhideWhenUsed/>
    <w:rsid w:val="00E351B0"/>
    <w:rPr>
      <w:b/>
      <w:bCs/>
    </w:rPr>
  </w:style>
  <w:style w:type="character" w:customStyle="1" w:styleId="CommentSubjectChar">
    <w:name w:val="Comment Subject Char"/>
    <w:basedOn w:val="CommentTextChar"/>
    <w:link w:val="CommentSubject"/>
    <w:uiPriority w:val="99"/>
    <w:semiHidden/>
    <w:rsid w:val="00E351B0"/>
    <w:rPr>
      <w:b/>
      <w:bCs/>
      <w:sz w:val="20"/>
      <w:szCs w:val="20"/>
      <w:lang w:val="pl-PL"/>
    </w:rPr>
  </w:style>
  <w:style w:type="paragraph" w:styleId="Revision">
    <w:name w:val="Revision"/>
    <w:hidden/>
    <w:uiPriority w:val="99"/>
    <w:semiHidden/>
    <w:rsid w:val="00E57BF8"/>
    <w:pPr>
      <w:spacing w:after="0" w:line="240" w:lineRule="auto"/>
    </w:pPr>
    <w:rPr>
      <w:sz w:val="24"/>
      <w:szCs w:val="24"/>
      <w:lang w:val="pl-PL"/>
    </w:rPr>
  </w:style>
  <w:style w:type="character" w:customStyle="1" w:styleId="UnresolvedMention">
    <w:name w:val="Unresolved Mention"/>
    <w:basedOn w:val="DefaultParagraphFont"/>
    <w:uiPriority w:val="99"/>
    <w:semiHidden/>
    <w:unhideWhenUsed/>
    <w:rsid w:val="00E570E1"/>
    <w:rPr>
      <w:color w:val="605E5C"/>
      <w:shd w:val="clear" w:color="auto" w:fill="E1DFDD"/>
    </w:rPr>
  </w:style>
  <w:style w:type="character" w:styleId="FollowedHyperlink">
    <w:name w:val="FollowedHyperlink"/>
    <w:basedOn w:val="DefaultParagraphFont"/>
    <w:uiPriority w:val="99"/>
    <w:semiHidden/>
    <w:unhideWhenUsed/>
    <w:rsid w:val="0045523C"/>
    <w:rPr>
      <w:color w:val="800080" w:themeColor="followedHyperlink"/>
      <w:u w:val="single"/>
    </w:rPr>
  </w:style>
  <w:style w:type="paragraph" w:styleId="ListParagraph">
    <w:name w:val="List Paragraph"/>
    <w:basedOn w:val="Normal"/>
    <w:uiPriority w:val="34"/>
    <w:qFormat/>
    <w:rsid w:val="00410087"/>
    <w:pPr>
      <w:ind w:left="720"/>
      <w:contextualSpacing/>
    </w:pPr>
  </w:style>
  <w:style w:type="character" w:customStyle="1" w:styleId="cf01">
    <w:name w:val="cf01"/>
    <w:basedOn w:val="DefaultParagraphFont"/>
    <w:rsid w:val="00973B79"/>
    <w:rPr>
      <w:rFonts w:ascii="Segoe UI" w:hAnsi="Segoe UI" w:cs="Segoe UI" w:hint="default"/>
      <w:sz w:val="18"/>
      <w:szCs w:val="18"/>
    </w:rPr>
  </w:style>
  <w:style w:type="paragraph" w:customStyle="1" w:styleId="pf0">
    <w:name w:val="pf0"/>
    <w:basedOn w:val="Normal"/>
    <w:rsid w:val="008C58A5"/>
    <w:pPr>
      <w:spacing w:before="100" w:beforeAutospacing="1" w:after="100" w:afterAutospacing="1"/>
    </w:pPr>
    <w:rPr>
      <w:rFonts w:ascii="Times New Roman" w:eastAsia="Times New Roman" w:hAnsi="Times New Roman" w:cs="Times New Roman"/>
      <w:lang w:eastAsia="hr-HR"/>
    </w:rPr>
  </w:style>
  <w:style w:type="paragraph" w:styleId="NormalWeb">
    <w:name w:val="Normal (Web)"/>
    <w:basedOn w:val="Normal"/>
    <w:uiPriority w:val="99"/>
    <w:unhideWhenUsed/>
    <w:rsid w:val="00A328FA"/>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3A1115"/>
    <w:rPr>
      <w:b/>
      <w:bCs/>
    </w:rPr>
  </w:style>
  <w:style w:type="paragraph" w:styleId="FootnoteText">
    <w:name w:val="footnote text"/>
    <w:aliases w:val="fn"/>
    <w:basedOn w:val="Normal"/>
    <w:link w:val="FootnoteTextChar"/>
    <w:uiPriority w:val="99"/>
    <w:unhideWhenUsed/>
    <w:rsid w:val="00C47B26"/>
    <w:rPr>
      <w:sz w:val="20"/>
      <w:szCs w:val="20"/>
    </w:rPr>
  </w:style>
  <w:style w:type="character" w:customStyle="1" w:styleId="FootnoteTextChar">
    <w:name w:val="Footnote Text Char"/>
    <w:aliases w:val="fn Char"/>
    <w:basedOn w:val="DefaultParagraphFont"/>
    <w:link w:val="FootnoteText"/>
    <w:uiPriority w:val="99"/>
    <w:rsid w:val="00C47B26"/>
    <w:rPr>
      <w:sz w:val="20"/>
      <w:szCs w:val="20"/>
      <w:lang w:val="en-US"/>
    </w:rPr>
  </w:style>
  <w:style w:type="character" w:styleId="FootnoteReference">
    <w:name w:val="footnote reference"/>
    <w:basedOn w:val="DefaultParagraphFont"/>
    <w:uiPriority w:val="99"/>
    <w:unhideWhenUsed/>
    <w:rsid w:val="00C47B26"/>
    <w:rPr>
      <w:vertAlign w:val="superscript"/>
    </w:rPr>
  </w:style>
  <w:style w:type="table" w:styleId="TableGrid">
    <w:name w:val="Table Grid"/>
    <w:basedOn w:val="TableNormal"/>
    <w:uiPriority w:val="39"/>
    <w:rsid w:val="0006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DEB Body Text,B2,BT,BodyText,body text,b,book,EHPT,Body Text2,body indent,Double,Anna 1,Style 11,b1,wstęp,b2,b3,b4,b5,b6,b7,b8,b9,b10,b11,Body Text Char1 Char1,Body Text Char Char Char1,Body Text Char1 Char1 Char Char1"/>
    <w:basedOn w:val="Normal"/>
    <w:link w:val="BodyTextChar"/>
    <w:unhideWhenUsed/>
    <w:qFormat/>
    <w:rsid w:val="00AF28A5"/>
    <w:pPr>
      <w:spacing w:before="120" w:after="120"/>
      <w:jc w:val="both"/>
    </w:pPr>
    <w:rPr>
      <w:rFonts w:eastAsiaTheme="minorEastAsia"/>
      <w:sz w:val="20"/>
      <w:szCs w:val="20"/>
      <w:lang w:val="en-AU" w:eastAsia="zh-CN"/>
    </w:rPr>
  </w:style>
  <w:style w:type="character" w:customStyle="1" w:styleId="BodyTextChar">
    <w:name w:val="Body Text Char"/>
    <w:aliases w:val="DEB Body Text Char,B2 Char,BT Char,BodyText Char,body text Char,b Char,book Char,EHPT Char,Body Text2 Char,body indent Char,Double Char,Anna 1 Char,Style 11 Char,b1 Char,wstęp Char,b2 Char,b3 Char,b4 Char,b5 Char,b6 Char,b7 Char,b8 Char"/>
    <w:basedOn w:val="DefaultParagraphFont"/>
    <w:link w:val="BodyText"/>
    <w:rsid w:val="00AF28A5"/>
    <w:rPr>
      <w:rFonts w:eastAsiaTheme="minorEastAsi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837">
      <w:bodyDiv w:val="1"/>
      <w:marLeft w:val="0"/>
      <w:marRight w:val="0"/>
      <w:marTop w:val="0"/>
      <w:marBottom w:val="0"/>
      <w:divBdr>
        <w:top w:val="none" w:sz="0" w:space="0" w:color="auto"/>
        <w:left w:val="none" w:sz="0" w:space="0" w:color="auto"/>
        <w:bottom w:val="none" w:sz="0" w:space="0" w:color="auto"/>
        <w:right w:val="none" w:sz="0" w:space="0" w:color="auto"/>
      </w:divBdr>
    </w:div>
    <w:div w:id="267929749">
      <w:bodyDiv w:val="1"/>
      <w:marLeft w:val="0"/>
      <w:marRight w:val="0"/>
      <w:marTop w:val="0"/>
      <w:marBottom w:val="0"/>
      <w:divBdr>
        <w:top w:val="none" w:sz="0" w:space="0" w:color="auto"/>
        <w:left w:val="none" w:sz="0" w:space="0" w:color="auto"/>
        <w:bottom w:val="none" w:sz="0" w:space="0" w:color="auto"/>
        <w:right w:val="none" w:sz="0" w:space="0" w:color="auto"/>
      </w:divBdr>
    </w:div>
    <w:div w:id="367723045">
      <w:bodyDiv w:val="1"/>
      <w:marLeft w:val="0"/>
      <w:marRight w:val="0"/>
      <w:marTop w:val="0"/>
      <w:marBottom w:val="0"/>
      <w:divBdr>
        <w:top w:val="none" w:sz="0" w:space="0" w:color="auto"/>
        <w:left w:val="none" w:sz="0" w:space="0" w:color="auto"/>
        <w:bottom w:val="none" w:sz="0" w:space="0" w:color="auto"/>
        <w:right w:val="none" w:sz="0" w:space="0" w:color="auto"/>
      </w:divBdr>
    </w:div>
    <w:div w:id="410126800">
      <w:bodyDiv w:val="1"/>
      <w:marLeft w:val="0"/>
      <w:marRight w:val="0"/>
      <w:marTop w:val="0"/>
      <w:marBottom w:val="0"/>
      <w:divBdr>
        <w:top w:val="none" w:sz="0" w:space="0" w:color="auto"/>
        <w:left w:val="none" w:sz="0" w:space="0" w:color="auto"/>
        <w:bottom w:val="none" w:sz="0" w:space="0" w:color="auto"/>
        <w:right w:val="none" w:sz="0" w:space="0" w:color="auto"/>
      </w:divBdr>
    </w:div>
    <w:div w:id="604457166">
      <w:bodyDiv w:val="1"/>
      <w:marLeft w:val="0"/>
      <w:marRight w:val="0"/>
      <w:marTop w:val="0"/>
      <w:marBottom w:val="0"/>
      <w:divBdr>
        <w:top w:val="none" w:sz="0" w:space="0" w:color="auto"/>
        <w:left w:val="none" w:sz="0" w:space="0" w:color="auto"/>
        <w:bottom w:val="none" w:sz="0" w:space="0" w:color="auto"/>
        <w:right w:val="none" w:sz="0" w:space="0" w:color="auto"/>
      </w:divBdr>
    </w:div>
    <w:div w:id="631711031">
      <w:bodyDiv w:val="1"/>
      <w:marLeft w:val="0"/>
      <w:marRight w:val="0"/>
      <w:marTop w:val="0"/>
      <w:marBottom w:val="0"/>
      <w:divBdr>
        <w:top w:val="none" w:sz="0" w:space="0" w:color="auto"/>
        <w:left w:val="none" w:sz="0" w:space="0" w:color="auto"/>
        <w:bottom w:val="none" w:sz="0" w:space="0" w:color="auto"/>
        <w:right w:val="none" w:sz="0" w:space="0" w:color="auto"/>
      </w:divBdr>
    </w:div>
    <w:div w:id="672341644">
      <w:bodyDiv w:val="1"/>
      <w:marLeft w:val="0"/>
      <w:marRight w:val="0"/>
      <w:marTop w:val="0"/>
      <w:marBottom w:val="0"/>
      <w:divBdr>
        <w:top w:val="none" w:sz="0" w:space="0" w:color="auto"/>
        <w:left w:val="none" w:sz="0" w:space="0" w:color="auto"/>
        <w:bottom w:val="none" w:sz="0" w:space="0" w:color="auto"/>
        <w:right w:val="none" w:sz="0" w:space="0" w:color="auto"/>
      </w:divBdr>
    </w:div>
    <w:div w:id="723868791">
      <w:bodyDiv w:val="1"/>
      <w:marLeft w:val="0"/>
      <w:marRight w:val="0"/>
      <w:marTop w:val="0"/>
      <w:marBottom w:val="0"/>
      <w:divBdr>
        <w:top w:val="none" w:sz="0" w:space="0" w:color="auto"/>
        <w:left w:val="none" w:sz="0" w:space="0" w:color="auto"/>
        <w:bottom w:val="none" w:sz="0" w:space="0" w:color="auto"/>
        <w:right w:val="none" w:sz="0" w:space="0" w:color="auto"/>
      </w:divBdr>
    </w:div>
    <w:div w:id="765078254">
      <w:bodyDiv w:val="1"/>
      <w:marLeft w:val="0"/>
      <w:marRight w:val="0"/>
      <w:marTop w:val="0"/>
      <w:marBottom w:val="0"/>
      <w:divBdr>
        <w:top w:val="none" w:sz="0" w:space="0" w:color="auto"/>
        <w:left w:val="none" w:sz="0" w:space="0" w:color="auto"/>
        <w:bottom w:val="none" w:sz="0" w:space="0" w:color="auto"/>
        <w:right w:val="none" w:sz="0" w:space="0" w:color="auto"/>
      </w:divBdr>
    </w:div>
    <w:div w:id="767847280">
      <w:bodyDiv w:val="1"/>
      <w:marLeft w:val="0"/>
      <w:marRight w:val="0"/>
      <w:marTop w:val="0"/>
      <w:marBottom w:val="0"/>
      <w:divBdr>
        <w:top w:val="none" w:sz="0" w:space="0" w:color="auto"/>
        <w:left w:val="none" w:sz="0" w:space="0" w:color="auto"/>
        <w:bottom w:val="none" w:sz="0" w:space="0" w:color="auto"/>
        <w:right w:val="none" w:sz="0" w:space="0" w:color="auto"/>
      </w:divBdr>
    </w:div>
    <w:div w:id="793912775">
      <w:bodyDiv w:val="1"/>
      <w:marLeft w:val="0"/>
      <w:marRight w:val="0"/>
      <w:marTop w:val="0"/>
      <w:marBottom w:val="0"/>
      <w:divBdr>
        <w:top w:val="none" w:sz="0" w:space="0" w:color="auto"/>
        <w:left w:val="none" w:sz="0" w:space="0" w:color="auto"/>
        <w:bottom w:val="none" w:sz="0" w:space="0" w:color="auto"/>
        <w:right w:val="none" w:sz="0" w:space="0" w:color="auto"/>
      </w:divBdr>
    </w:div>
    <w:div w:id="1207723343">
      <w:bodyDiv w:val="1"/>
      <w:marLeft w:val="0"/>
      <w:marRight w:val="0"/>
      <w:marTop w:val="0"/>
      <w:marBottom w:val="0"/>
      <w:divBdr>
        <w:top w:val="none" w:sz="0" w:space="0" w:color="auto"/>
        <w:left w:val="none" w:sz="0" w:space="0" w:color="auto"/>
        <w:bottom w:val="none" w:sz="0" w:space="0" w:color="auto"/>
        <w:right w:val="none" w:sz="0" w:space="0" w:color="auto"/>
      </w:divBdr>
    </w:div>
    <w:div w:id="1221282573">
      <w:bodyDiv w:val="1"/>
      <w:marLeft w:val="0"/>
      <w:marRight w:val="0"/>
      <w:marTop w:val="0"/>
      <w:marBottom w:val="0"/>
      <w:divBdr>
        <w:top w:val="none" w:sz="0" w:space="0" w:color="auto"/>
        <w:left w:val="none" w:sz="0" w:space="0" w:color="auto"/>
        <w:bottom w:val="none" w:sz="0" w:space="0" w:color="auto"/>
        <w:right w:val="none" w:sz="0" w:space="0" w:color="auto"/>
      </w:divBdr>
    </w:div>
    <w:div w:id="1251620236">
      <w:bodyDiv w:val="1"/>
      <w:marLeft w:val="0"/>
      <w:marRight w:val="0"/>
      <w:marTop w:val="0"/>
      <w:marBottom w:val="0"/>
      <w:divBdr>
        <w:top w:val="none" w:sz="0" w:space="0" w:color="auto"/>
        <w:left w:val="none" w:sz="0" w:space="0" w:color="auto"/>
        <w:bottom w:val="none" w:sz="0" w:space="0" w:color="auto"/>
        <w:right w:val="none" w:sz="0" w:space="0" w:color="auto"/>
      </w:divBdr>
    </w:div>
    <w:div w:id="1280792618">
      <w:bodyDiv w:val="1"/>
      <w:marLeft w:val="0"/>
      <w:marRight w:val="0"/>
      <w:marTop w:val="0"/>
      <w:marBottom w:val="0"/>
      <w:divBdr>
        <w:top w:val="none" w:sz="0" w:space="0" w:color="auto"/>
        <w:left w:val="none" w:sz="0" w:space="0" w:color="auto"/>
        <w:bottom w:val="none" w:sz="0" w:space="0" w:color="auto"/>
        <w:right w:val="none" w:sz="0" w:space="0" w:color="auto"/>
      </w:divBdr>
    </w:div>
    <w:div w:id="1389722574">
      <w:bodyDiv w:val="1"/>
      <w:marLeft w:val="0"/>
      <w:marRight w:val="0"/>
      <w:marTop w:val="0"/>
      <w:marBottom w:val="0"/>
      <w:divBdr>
        <w:top w:val="none" w:sz="0" w:space="0" w:color="auto"/>
        <w:left w:val="none" w:sz="0" w:space="0" w:color="auto"/>
        <w:bottom w:val="none" w:sz="0" w:space="0" w:color="auto"/>
        <w:right w:val="none" w:sz="0" w:space="0" w:color="auto"/>
      </w:divBdr>
    </w:div>
    <w:div w:id="1442266380">
      <w:bodyDiv w:val="1"/>
      <w:marLeft w:val="0"/>
      <w:marRight w:val="0"/>
      <w:marTop w:val="0"/>
      <w:marBottom w:val="0"/>
      <w:divBdr>
        <w:top w:val="none" w:sz="0" w:space="0" w:color="auto"/>
        <w:left w:val="none" w:sz="0" w:space="0" w:color="auto"/>
        <w:bottom w:val="none" w:sz="0" w:space="0" w:color="auto"/>
        <w:right w:val="none" w:sz="0" w:space="0" w:color="auto"/>
      </w:divBdr>
    </w:div>
    <w:div w:id="1489246227">
      <w:bodyDiv w:val="1"/>
      <w:marLeft w:val="0"/>
      <w:marRight w:val="0"/>
      <w:marTop w:val="0"/>
      <w:marBottom w:val="0"/>
      <w:divBdr>
        <w:top w:val="none" w:sz="0" w:space="0" w:color="auto"/>
        <w:left w:val="none" w:sz="0" w:space="0" w:color="auto"/>
        <w:bottom w:val="none" w:sz="0" w:space="0" w:color="auto"/>
        <w:right w:val="none" w:sz="0" w:space="0" w:color="auto"/>
      </w:divBdr>
    </w:div>
    <w:div w:id="1584333296">
      <w:bodyDiv w:val="1"/>
      <w:marLeft w:val="0"/>
      <w:marRight w:val="0"/>
      <w:marTop w:val="0"/>
      <w:marBottom w:val="0"/>
      <w:divBdr>
        <w:top w:val="none" w:sz="0" w:space="0" w:color="auto"/>
        <w:left w:val="none" w:sz="0" w:space="0" w:color="auto"/>
        <w:bottom w:val="none" w:sz="0" w:space="0" w:color="auto"/>
        <w:right w:val="none" w:sz="0" w:space="0" w:color="auto"/>
      </w:divBdr>
    </w:div>
    <w:div w:id="1774277267">
      <w:bodyDiv w:val="1"/>
      <w:marLeft w:val="0"/>
      <w:marRight w:val="0"/>
      <w:marTop w:val="0"/>
      <w:marBottom w:val="0"/>
      <w:divBdr>
        <w:top w:val="none" w:sz="0" w:space="0" w:color="auto"/>
        <w:left w:val="none" w:sz="0" w:space="0" w:color="auto"/>
        <w:bottom w:val="none" w:sz="0" w:space="0" w:color="auto"/>
        <w:right w:val="none" w:sz="0" w:space="0" w:color="auto"/>
      </w:divBdr>
    </w:div>
    <w:div w:id="1893080848">
      <w:bodyDiv w:val="1"/>
      <w:marLeft w:val="0"/>
      <w:marRight w:val="0"/>
      <w:marTop w:val="0"/>
      <w:marBottom w:val="0"/>
      <w:divBdr>
        <w:top w:val="none" w:sz="0" w:space="0" w:color="auto"/>
        <w:left w:val="none" w:sz="0" w:space="0" w:color="auto"/>
        <w:bottom w:val="none" w:sz="0" w:space="0" w:color="auto"/>
        <w:right w:val="none" w:sz="0" w:space="0" w:color="auto"/>
      </w:divBdr>
    </w:div>
    <w:div w:id="1961456383">
      <w:bodyDiv w:val="1"/>
      <w:marLeft w:val="0"/>
      <w:marRight w:val="0"/>
      <w:marTop w:val="0"/>
      <w:marBottom w:val="0"/>
      <w:divBdr>
        <w:top w:val="none" w:sz="0" w:space="0" w:color="auto"/>
        <w:left w:val="none" w:sz="0" w:space="0" w:color="auto"/>
        <w:bottom w:val="none" w:sz="0" w:space="0" w:color="auto"/>
        <w:right w:val="none" w:sz="0" w:space="0" w:color="auto"/>
      </w:divBdr>
    </w:div>
    <w:div w:id="1992514993">
      <w:bodyDiv w:val="1"/>
      <w:marLeft w:val="0"/>
      <w:marRight w:val="0"/>
      <w:marTop w:val="0"/>
      <w:marBottom w:val="0"/>
      <w:divBdr>
        <w:top w:val="none" w:sz="0" w:space="0" w:color="auto"/>
        <w:left w:val="none" w:sz="0" w:space="0" w:color="auto"/>
        <w:bottom w:val="none" w:sz="0" w:space="0" w:color="auto"/>
        <w:right w:val="none" w:sz="0" w:space="0" w:color="auto"/>
      </w:divBdr>
    </w:div>
    <w:div w:id="2119639469">
      <w:bodyDiv w:val="1"/>
      <w:marLeft w:val="0"/>
      <w:marRight w:val="0"/>
      <w:marTop w:val="0"/>
      <w:marBottom w:val="0"/>
      <w:divBdr>
        <w:top w:val="none" w:sz="0" w:space="0" w:color="auto"/>
        <w:left w:val="none" w:sz="0" w:space="0" w:color="auto"/>
        <w:bottom w:val="none" w:sz="0" w:space="0" w:color="auto"/>
        <w:right w:val="none" w:sz="0" w:space="0" w:color="auto"/>
      </w:divBdr>
    </w:div>
    <w:div w:id="21232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acgroup.eu" TargetMode="External"/><Relationship Id="rId13" Type="http://schemas.openxmlformats.org/officeDocument/2006/relationships/hyperlink" Target="mailto:tatjana.spajic@studenac.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ac@pragm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ac@pragma.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udenac@nbs.com.pl" TargetMode="External"/><Relationship Id="rId4" Type="http://schemas.openxmlformats.org/officeDocument/2006/relationships/settings" Target="settings.xml"/><Relationship Id="rId9" Type="http://schemas.openxmlformats.org/officeDocument/2006/relationships/hyperlink" Target="http://www.luxse.com" TargetMode="External"/><Relationship Id="rId14" Type="http://schemas.openxmlformats.org/officeDocument/2006/relationships/hyperlink" Target="mailto:adam.kucza@studenac.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ED13-D748-4224-B63E-3633E3AE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6425</Words>
  <Characters>31420</Characters>
  <Application>Microsoft Office Word</Application>
  <DocSecurity>0</DocSecurity>
  <Lines>2244</Lines>
  <Paragraphs>1991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Darko</cp:lastModifiedBy>
  <cp:revision>2</cp:revision>
  <dcterms:created xsi:type="dcterms:W3CDTF">2024-11-07T12:32:00Z</dcterms:created>
  <dcterms:modified xsi:type="dcterms:W3CDTF">2024-11-07T12:32:00Z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2024-08-27T22:16:19Z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225c2826-e519-4e1d-b09e-724629f49bb6</vt:lpwstr>
  </property>
  <property fmtid="{D5CDD505-2E9C-101B-9397-08002B2CF9AE}" pid="8" name="MSIP_Label_0c2abd79-57a9-4473-8700-c843f76a1e37_ContentBits">
    <vt:lpwstr>0</vt:lpwstr>
  </property>
</Properties>
</file>